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B65AD8">
        <w:rPr>
          <w:rFonts w:eastAsia="Times New Roman" w:cs="Times New Roman"/>
          <w:b/>
          <w:sz w:val="26"/>
          <w:szCs w:val="26"/>
          <w:lang w:val="uk-UA" w:eastAsia="ru-RU"/>
        </w:rPr>
        <w:t xml:space="preserve">травень </w:t>
      </w:r>
      <w:r w:rsidR="0033217E">
        <w:rPr>
          <w:rFonts w:eastAsia="Times New Roman" w:cs="Times New Roman"/>
          <w:b/>
          <w:sz w:val="26"/>
          <w:szCs w:val="26"/>
          <w:lang w:val="uk-UA" w:eastAsia="ru-RU"/>
        </w:rPr>
        <w:t xml:space="preserve">2022 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  <w:r w:rsidR="006C5C2F">
        <w:rPr>
          <w:rFonts w:eastAsia="Times New Roman" w:cs="Times New Roman"/>
          <w:b/>
          <w:sz w:val="26"/>
          <w:szCs w:val="26"/>
          <w:lang w:val="uk-UA" w:eastAsia="ru-RU"/>
        </w:rPr>
        <w:t xml:space="preserve"> в порівнянні з</w:t>
      </w:r>
      <w:r w:rsidR="00093987">
        <w:rPr>
          <w:rFonts w:eastAsia="Times New Roman" w:cs="Times New Roman"/>
          <w:b/>
          <w:sz w:val="26"/>
          <w:szCs w:val="26"/>
          <w:lang w:val="uk-UA" w:eastAsia="ru-RU"/>
        </w:rPr>
        <w:t xml:space="preserve"> </w:t>
      </w:r>
      <w:r w:rsidR="00B65AD8">
        <w:rPr>
          <w:rFonts w:eastAsia="Times New Roman" w:cs="Times New Roman"/>
          <w:b/>
          <w:sz w:val="26"/>
          <w:szCs w:val="26"/>
          <w:lang w:val="uk-UA" w:eastAsia="ru-RU"/>
        </w:rPr>
        <w:t xml:space="preserve">травнем </w:t>
      </w:r>
      <w:r w:rsidR="006C5C2F">
        <w:rPr>
          <w:rFonts w:eastAsia="Times New Roman" w:cs="Times New Roman"/>
          <w:b/>
          <w:sz w:val="26"/>
          <w:szCs w:val="26"/>
          <w:lang w:val="uk-UA" w:eastAsia="ru-RU"/>
        </w:rPr>
        <w:t>2021 року</w:t>
      </w:r>
    </w:p>
    <w:p w:rsidR="00A3490F" w:rsidRDefault="00A3490F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A3490F" w:rsidRPr="00A3490F" w:rsidRDefault="00A3490F" w:rsidP="00A3490F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Відповідно до статистичної інформації, враховуючи різні місця </w:t>
      </w:r>
      <w:r w:rsidR="00D14DA8">
        <w:rPr>
          <w:rFonts w:eastAsia="PMingLiU" w:cs="Times New Roman"/>
          <w:sz w:val="26"/>
          <w:szCs w:val="26"/>
          <w:lang w:val="uk-UA" w:eastAsia="zh-TW"/>
        </w:rPr>
        <w:t>реєстрації, протягом травня 2022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року до Південно-Східного міжрегіонального управління  Міністерства юстиції (м. Дніпро</w:t>
      </w:r>
      <w:r w:rsidRPr="00EE5A7B">
        <w:rPr>
          <w:rFonts w:eastAsia="PMingLiU" w:cs="Times New Roman"/>
          <w:sz w:val="26"/>
          <w:szCs w:val="26"/>
          <w:lang w:val="uk-UA" w:eastAsia="zh-TW"/>
        </w:rPr>
        <w:t xml:space="preserve">) </w:t>
      </w:r>
      <w:r w:rsidRPr="00EE5A7B">
        <w:rPr>
          <w:rFonts w:eastAsia="PMingLiU" w:cs="Times New Roman"/>
          <w:i/>
          <w:sz w:val="26"/>
          <w:szCs w:val="26"/>
          <w:lang w:val="uk-UA" w:eastAsia="zh-TW"/>
        </w:rPr>
        <w:t>надійшло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335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 у травні 2021 року -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548)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звернень громадян, з них: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168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(у травні 2021 року -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345)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</w:t>
      </w:r>
      <w:r w:rsidR="00BB49C8">
        <w:rPr>
          <w:rFonts w:eastAsia="PMingLiU" w:cs="Times New Roman"/>
          <w:sz w:val="26"/>
          <w:szCs w:val="26"/>
          <w:lang w:val="uk-UA" w:eastAsia="zh-TW"/>
        </w:rPr>
        <w:t xml:space="preserve">                     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(м. Дніпро), що </w:t>
      </w:r>
      <w:bookmarkStart w:id="0" w:name="_GoBack"/>
      <w:bookmarkEnd w:id="0"/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діє у Дніпропетровській області,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122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 2021 року -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114)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45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="00FA4DE9">
        <w:rPr>
          <w:rFonts w:eastAsia="PMingLiU" w:cs="Times New Roman"/>
          <w:sz w:val="26"/>
          <w:szCs w:val="26"/>
          <w:lang w:val="uk-UA" w:eastAsia="zh-TW"/>
        </w:rPr>
        <w:t xml:space="preserve">           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(у травні 2021 року –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89)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звернень громадян у Південно-Східному міжрегіональному управлінні Міністерства юстиції </w:t>
      </w:r>
      <w:r w:rsidR="00BF0F4D">
        <w:rPr>
          <w:rFonts w:eastAsia="PMingLiU" w:cs="Times New Roman"/>
          <w:sz w:val="26"/>
          <w:szCs w:val="26"/>
          <w:lang w:val="uk-UA" w:eastAsia="zh-TW"/>
        </w:rPr>
        <w:t xml:space="preserve">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(м. Дніпро), що діє у  Кіровоградській області.  </w:t>
      </w:r>
    </w:p>
    <w:p w:rsidR="00A3490F" w:rsidRPr="00A3490F" w:rsidRDefault="00A3490F" w:rsidP="00A3490F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Крім зазначеної кількості на розгляд </w:t>
      </w:r>
      <w:r w:rsidRPr="00A3490F">
        <w:rPr>
          <w:rFonts w:eastAsia="PMingLiU" w:cs="Times New Roman"/>
          <w:i/>
          <w:sz w:val="26"/>
          <w:szCs w:val="26"/>
          <w:lang w:val="uk-UA" w:eastAsia="zh-TW"/>
        </w:rPr>
        <w:t xml:space="preserve">надійшло </w:t>
      </w:r>
      <w:r w:rsidRPr="00A3490F">
        <w:rPr>
          <w:rFonts w:eastAsia="PMingLiU" w:cs="Times New Roman"/>
          <w:b/>
          <w:i/>
          <w:sz w:val="26"/>
          <w:szCs w:val="26"/>
          <w:lang w:val="uk-UA" w:eastAsia="zh-TW"/>
        </w:rPr>
        <w:t>84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2021 року -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132)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звернення  від юридичних осіб, з них: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 66 (</w:t>
      </w:r>
      <w:r w:rsidRPr="00A3490F">
        <w:rPr>
          <w:rFonts w:eastAsia="PMingLiU" w:cs="Times New Roman"/>
          <w:sz w:val="26"/>
          <w:szCs w:val="26"/>
          <w:lang w:val="uk-UA" w:eastAsia="zh-TW"/>
        </w:rPr>
        <w:t>у травні 2021 року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 - 83)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7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2021 року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 - 36)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11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2021 року –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13)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звернень у Південно-Східному міжрегіональному управлінні Міністерства юстиції  (м. Дніпро), що діє у Кіровоградській області. </w:t>
      </w:r>
    </w:p>
    <w:p w:rsidR="00A3490F" w:rsidRDefault="00A3490F" w:rsidP="00A3490F">
      <w:pPr>
        <w:spacing w:after="0" w:line="240" w:lineRule="auto"/>
        <w:ind w:firstLine="708"/>
        <w:jc w:val="both"/>
        <w:rPr>
          <w:rFonts w:eastAsia="PMingLiU" w:cs="Times New Roman"/>
          <w:b/>
          <w:sz w:val="26"/>
          <w:szCs w:val="26"/>
          <w:lang w:val="uk-UA" w:eastAsia="zh-TW"/>
        </w:rPr>
      </w:pP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На «Урядову гарячу лінію» надійшло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109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 (у травні 2021 року –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303) </w:t>
      </w:r>
      <w:r w:rsidR="00AF6EE5">
        <w:rPr>
          <w:rFonts w:eastAsia="PMingLiU" w:cs="Times New Roman"/>
          <w:sz w:val="26"/>
          <w:szCs w:val="26"/>
          <w:lang w:val="uk-UA" w:eastAsia="zh-TW"/>
        </w:rPr>
        <w:t>звернень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, з них: до Південно-Східного міжрегіонального управління Міністерства юстиції (м. Дніпро), що діє у Дніпропетровській області –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71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2021 року –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192)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; до Південно-Східного   міжрегіонального управління Міністерства юстиції (м. Дніпро), що діє у Запорізькій області –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25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 (у травні 2021 року –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70)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; до Південно-Східного  міжрегіонального  управління Міністерства юстиції </w:t>
      </w:r>
      <w:r w:rsidR="00360066">
        <w:rPr>
          <w:rFonts w:eastAsia="PMingLiU" w:cs="Times New Roman"/>
          <w:sz w:val="26"/>
          <w:szCs w:val="26"/>
          <w:lang w:val="uk-UA" w:eastAsia="zh-TW"/>
        </w:rPr>
        <w:t xml:space="preserve">                  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(м. Дніпро), що діє у Кіровоградській  області –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 xml:space="preserve">13 </w:t>
      </w:r>
      <w:r w:rsidRPr="00A3490F">
        <w:rPr>
          <w:rFonts w:eastAsia="PMingLiU" w:cs="Times New Roman"/>
          <w:sz w:val="26"/>
          <w:szCs w:val="26"/>
          <w:lang w:val="uk-UA" w:eastAsia="zh-TW"/>
        </w:rPr>
        <w:t xml:space="preserve">(у травні 2021 року –   </w:t>
      </w:r>
      <w:r w:rsidRPr="00A3490F">
        <w:rPr>
          <w:rFonts w:eastAsia="PMingLiU" w:cs="Times New Roman"/>
          <w:b/>
          <w:sz w:val="26"/>
          <w:szCs w:val="26"/>
          <w:lang w:val="uk-UA" w:eastAsia="zh-TW"/>
        </w:rPr>
        <w:t>41).</w:t>
      </w:r>
    </w:p>
    <w:p w:rsidR="00360066" w:rsidRDefault="00360066" w:rsidP="00A3490F">
      <w:pPr>
        <w:spacing w:after="0" w:line="240" w:lineRule="auto"/>
        <w:ind w:firstLine="708"/>
        <w:jc w:val="both"/>
        <w:rPr>
          <w:rFonts w:eastAsia="PMingLiU" w:cs="Times New Roman"/>
          <w:b/>
          <w:sz w:val="26"/>
          <w:szCs w:val="26"/>
          <w:lang w:val="uk-UA" w:eastAsia="zh-TW"/>
        </w:rPr>
      </w:pPr>
    </w:p>
    <w:p w:rsidR="00E3185F" w:rsidRDefault="00E3185F" w:rsidP="00A3490F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4E69" w:rsidRPr="00A3490F" w:rsidRDefault="00AA4E69" w:rsidP="00A3490F">
      <w:pPr>
        <w:spacing w:after="0" w:line="240" w:lineRule="auto"/>
        <w:ind w:firstLine="708"/>
        <w:jc w:val="both"/>
        <w:rPr>
          <w:rFonts w:eastAsia="PMingLiU" w:cs="Times New Roman"/>
          <w:sz w:val="26"/>
          <w:szCs w:val="26"/>
          <w:lang w:val="uk-UA" w:eastAsia="zh-TW"/>
        </w:rPr>
      </w:pPr>
      <w:r>
        <w:rPr>
          <w:noProof/>
          <w:lang w:eastAsia="ru-RU"/>
        </w:rPr>
        <w:drawing>
          <wp:inline distT="0" distB="0" distL="0" distR="0">
            <wp:extent cx="5000625" cy="3895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490F" w:rsidRPr="00A3490F" w:rsidRDefault="00A3490F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AA4E69" w:rsidRDefault="00AA4E69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AA4E69" w:rsidRDefault="00AA4E69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D7156B" w:rsidRDefault="00D7156B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D7156B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="006C3C7F"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8C517F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 xml:space="preserve">168 </w:t>
      </w:r>
      <w:r w:rsidR="00920960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FD6A56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FD6A56" w:rsidRPr="00FD6A56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що діє у Дніпропетровській області</w:t>
      </w:r>
      <w:r w:rsidR="00093987">
        <w:rPr>
          <w:rFonts w:eastAsia="Times New Roman" w:cs="Times New Roman"/>
          <w:sz w:val="26"/>
          <w:szCs w:val="26"/>
          <w:lang w:val="uk-UA" w:eastAsia="ru-RU"/>
        </w:rPr>
        <w:t xml:space="preserve">, 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>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 w:rsidR="00166D3C">
        <w:rPr>
          <w:rFonts w:eastAsia="Times New Roman" w:cs="Times New Roman"/>
          <w:sz w:val="26"/>
          <w:szCs w:val="26"/>
          <w:lang w:val="uk-UA" w:eastAsia="ru-RU"/>
        </w:rPr>
        <w:t xml:space="preserve">                </w:t>
      </w:r>
      <w:r>
        <w:rPr>
          <w:rFonts w:eastAsia="Times New Roman" w:cs="Times New Roman"/>
          <w:sz w:val="26"/>
          <w:szCs w:val="26"/>
          <w:lang w:val="uk-UA" w:eastAsia="ru-RU"/>
        </w:rPr>
        <w:t>345</w:t>
      </w:r>
      <w:r w:rsidR="00920960">
        <w:rPr>
          <w:rFonts w:eastAsia="Times New Roman" w:cs="Times New Roman"/>
          <w:sz w:val="26"/>
          <w:szCs w:val="26"/>
          <w:lang w:val="uk-UA" w:eastAsia="ru-RU"/>
        </w:rPr>
        <w:t xml:space="preserve"> звернень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D578CF">
        <w:rPr>
          <w:rFonts w:eastAsia="Times New Roman" w:cs="Times New Roman"/>
          <w:sz w:val="26"/>
          <w:szCs w:val="26"/>
          <w:lang w:val="uk-UA" w:eastAsia="ru-RU"/>
        </w:rPr>
        <w:t>177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D578CF">
        <w:rPr>
          <w:rFonts w:eastAsia="Times New Roman" w:cs="Times New Roman"/>
          <w:sz w:val="26"/>
          <w:szCs w:val="26"/>
          <w:lang w:val="uk-UA" w:eastAsia="ru-RU"/>
        </w:rPr>
        <w:t>звернень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</w:t>
      </w:r>
      <w:r w:rsidR="00920960">
        <w:rPr>
          <w:rFonts w:eastAsia="Times New Roman" w:cs="Times New Roman"/>
          <w:sz w:val="26"/>
          <w:szCs w:val="26"/>
          <w:lang w:val="uk-UA" w:eastAsia="ru-RU"/>
        </w:rPr>
        <w:t>менше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C4099A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122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114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 w:rsidR="00F453AD">
        <w:rPr>
          <w:rFonts w:eastAsia="Times New Roman" w:cs="Times New Roman"/>
          <w:sz w:val="26"/>
          <w:szCs w:val="26"/>
          <w:lang w:val="uk-UA" w:eastAsia="ru-RU"/>
        </w:rPr>
        <w:t>8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звернень </w:t>
      </w:r>
      <w:r w:rsidR="00F453AD">
        <w:rPr>
          <w:rFonts w:eastAsia="Times New Roman" w:cs="Times New Roman"/>
          <w:sz w:val="26"/>
          <w:szCs w:val="26"/>
          <w:lang w:val="uk-UA" w:eastAsia="ru-RU"/>
        </w:rPr>
        <w:t xml:space="preserve"> 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E37573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45</w:t>
      </w:r>
      <w:r w:rsidR="00130E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</w:t>
      </w:r>
      <w:r w:rsidR="009F7C1E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діє у Кіровоградській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89 </w:t>
      </w:r>
      <w:r w:rsidR="00130EC8">
        <w:rPr>
          <w:rFonts w:eastAsia="Times New Roman" w:cs="Times New Roman"/>
          <w:sz w:val="26"/>
          <w:szCs w:val="26"/>
          <w:lang w:val="uk-UA" w:eastAsia="ru-RU"/>
        </w:rPr>
        <w:t>звернень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6A72F2">
        <w:rPr>
          <w:rFonts w:eastAsia="Times New Roman" w:cs="Times New Roman"/>
          <w:sz w:val="26"/>
          <w:szCs w:val="26"/>
          <w:lang w:val="uk-UA" w:eastAsia="ru-RU"/>
        </w:rPr>
        <w:t>44 звернення</w:t>
      </w:r>
      <w:r w:rsidR="00EF34E3">
        <w:rPr>
          <w:rFonts w:eastAsia="Times New Roman" w:cs="Times New Roman"/>
          <w:sz w:val="26"/>
          <w:szCs w:val="26"/>
          <w:lang w:val="uk-UA" w:eastAsia="ru-RU"/>
        </w:rPr>
        <w:t xml:space="preserve">  менше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Default="006C3C7F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F46506" w:rsidRDefault="00F46506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419A5" w:rsidRDefault="006419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419A5" w:rsidRDefault="006419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2364F2" w:rsidRPr="006C3C7F" w:rsidRDefault="002364F2" w:rsidP="003933EC">
      <w:pPr>
        <w:spacing w:after="0" w:line="240" w:lineRule="auto"/>
        <w:jc w:val="both"/>
        <w:rPr>
          <w:rFonts w:eastAsia="PMingLiU" w:cs="Times New Roman"/>
          <w:bCs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Начальник відділу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організаційної роботи,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документування та контролю                         </w:t>
      </w:r>
      <w:r>
        <w:rPr>
          <w:rFonts w:eastAsia="PMingLiU" w:cs="Times New Roman"/>
          <w:sz w:val="26"/>
          <w:szCs w:val="26"/>
          <w:lang w:val="uk-UA" w:eastAsia="zh-TW"/>
        </w:rPr>
        <w:t xml:space="preserve">         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Ірина ВАСІНА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Погоджено</w:t>
      </w:r>
    </w:p>
    <w:p w:rsidR="00670FBB" w:rsidRPr="00670FBB" w:rsidRDefault="008428FC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PMingLiU" w:cs="Times New Roman"/>
          <w:sz w:val="26"/>
          <w:szCs w:val="26"/>
          <w:lang w:val="uk-UA" w:eastAsia="zh-TW"/>
        </w:rPr>
        <w:t>В.о. першого</w:t>
      </w:r>
      <w:r w:rsidR="00670FBB" w:rsidRPr="00670FBB">
        <w:rPr>
          <w:rFonts w:eastAsia="PMingLiU" w:cs="Times New Roman"/>
          <w:sz w:val="26"/>
          <w:szCs w:val="26"/>
          <w:lang w:val="uk-UA" w:eastAsia="zh-TW"/>
        </w:rPr>
        <w:t xml:space="preserve"> заступник</w:t>
      </w:r>
      <w:r>
        <w:rPr>
          <w:rFonts w:eastAsia="PMingLiU" w:cs="Times New Roman"/>
          <w:sz w:val="26"/>
          <w:szCs w:val="26"/>
          <w:lang w:val="uk-UA" w:eastAsia="zh-TW"/>
        </w:rPr>
        <w:t>а</w:t>
      </w:r>
      <w:r w:rsidR="00670FBB" w:rsidRPr="00670FBB">
        <w:rPr>
          <w:rFonts w:eastAsia="PMingLiU" w:cs="Times New Roman"/>
          <w:sz w:val="26"/>
          <w:szCs w:val="26"/>
          <w:lang w:val="uk-UA" w:eastAsia="zh-TW"/>
        </w:rPr>
        <w:t xml:space="preserve"> 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PMingLiU" w:cs="Times New Roman"/>
          <w:sz w:val="26"/>
          <w:szCs w:val="26"/>
          <w:lang w:val="uk-UA" w:eastAsia="zh-TW"/>
        </w:rPr>
        <w:t>начальника управління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FB67F6">
        <w:rPr>
          <w:rFonts w:eastAsia="PMingLiU" w:cs="Times New Roman"/>
          <w:sz w:val="26"/>
          <w:szCs w:val="26"/>
          <w:lang w:val="uk-UA" w:eastAsia="zh-TW"/>
        </w:rPr>
        <w:t>Олена ПОТОЦЬКА</w:t>
      </w:r>
    </w:p>
    <w:p w:rsidR="008336C8" w:rsidRDefault="008336C8" w:rsidP="00BB2A33">
      <w:pPr>
        <w:spacing w:after="0" w:line="240" w:lineRule="auto"/>
        <w:jc w:val="both"/>
        <w:rPr>
          <w:rFonts w:eastAsia="PMingLiU" w:cs="Times New Roman"/>
          <w:sz w:val="22"/>
          <w:lang w:val="uk-UA" w:eastAsia="zh-TW"/>
        </w:rPr>
      </w:pPr>
    </w:p>
    <w:p w:rsidR="00976208" w:rsidRDefault="0097620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419A5" w:rsidRDefault="006419A5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BB2A33" w:rsidRDefault="007A1FF6" w:rsidP="00BB2A33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val="uk-UA" w:eastAsia="ru-RU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 xml:space="preserve">Ірина </w:t>
      </w:r>
      <w:proofErr w:type="spellStart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>Матусяк</w:t>
      </w:r>
      <w:proofErr w:type="spellEnd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BB2A33" w:rsidSect="002E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93987"/>
    <w:rsid w:val="000C3DF1"/>
    <w:rsid w:val="000D3084"/>
    <w:rsid w:val="000D5573"/>
    <w:rsid w:val="000F1335"/>
    <w:rsid w:val="00112543"/>
    <w:rsid w:val="00130EC8"/>
    <w:rsid w:val="001314B7"/>
    <w:rsid w:val="00166D3C"/>
    <w:rsid w:val="00167979"/>
    <w:rsid w:val="00190300"/>
    <w:rsid w:val="001B5BB1"/>
    <w:rsid w:val="001D7087"/>
    <w:rsid w:val="002120DE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E59BB"/>
    <w:rsid w:val="002F3679"/>
    <w:rsid w:val="002F6DAE"/>
    <w:rsid w:val="00331C0F"/>
    <w:rsid w:val="0033217E"/>
    <w:rsid w:val="00336808"/>
    <w:rsid w:val="00355BF5"/>
    <w:rsid w:val="00360066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45A91"/>
    <w:rsid w:val="00454312"/>
    <w:rsid w:val="004674B8"/>
    <w:rsid w:val="0048736D"/>
    <w:rsid w:val="00493FAF"/>
    <w:rsid w:val="004E0AA4"/>
    <w:rsid w:val="004F3E81"/>
    <w:rsid w:val="005052D3"/>
    <w:rsid w:val="0054221F"/>
    <w:rsid w:val="00583817"/>
    <w:rsid w:val="00611B34"/>
    <w:rsid w:val="00633DCD"/>
    <w:rsid w:val="00641648"/>
    <w:rsid w:val="006419A5"/>
    <w:rsid w:val="00643F3D"/>
    <w:rsid w:val="006478D6"/>
    <w:rsid w:val="00662F5B"/>
    <w:rsid w:val="00670FBB"/>
    <w:rsid w:val="00671A46"/>
    <w:rsid w:val="00695D64"/>
    <w:rsid w:val="006A72F2"/>
    <w:rsid w:val="006C3C7F"/>
    <w:rsid w:val="006C5C2F"/>
    <w:rsid w:val="006E722D"/>
    <w:rsid w:val="007011FE"/>
    <w:rsid w:val="00722060"/>
    <w:rsid w:val="00742532"/>
    <w:rsid w:val="00751375"/>
    <w:rsid w:val="00751865"/>
    <w:rsid w:val="00752515"/>
    <w:rsid w:val="0076043C"/>
    <w:rsid w:val="00762E45"/>
    <w:rsid w:val="0079699C"/>
    <w:rsid w:val="007A1FF6"/>
    <w:rsid w:val="007A75D6"/>
    <w:rsid w:val="007B6075"/>
    <w:rsid w:val="007C1C5A"/>
    <w:rsid w:val="007E164C"/>
    <w:rsid w:val="007E668D"/>
    <w:rsid w:val="008336C8"/>
    <w:rsid w:val="008428FC"/>
    <w:rsid w:val="008546E5"/>
    <w:rsid w:val="0085519E"/>
    <w:rsid w:val="008C517F"/>
    <w:rsid w:val="008D2EA1"/>
    <w:rsid w:val="008E04A5"/>
    <w:rsid w:val="00920960"/>
    <w:rsid w:val="009215CA"/>
    <w:rsid w:val="009450FB"/>
    <w:rsid w:val="00947268"/>
    <w:rsid w:val="00947E7D"/>
    <w:rsid w:val="00952D1B"/>
    <w:rsid w:val="0097094B"/>
    <w:rsid w:val="00974A8D"/>
    <w:rsid w:val="00976208"/>
    <w:rsid w:val="00993D28"/>
    <w:rsid w:val="009944EE"/>
    <w:rsid w:val="009A3DB3"/>
    <w:rsid w:val="009B2F65"/>
    <w:rsid w:val="009C179F"/>
    <w:rsid w:val="009E0EEC"/>
    <w:rsid w:val="009E1D24"/>
    <w:rsid w:val="009F77C8"/>
    <w:rsid w:val="009F7C1E"/>
    <w:rsid w:val="00A15932"/>
    <w:rsid w:val="00A321B9"/>
    <w:rsid w:val="00A3490F"/>
    <w:rsid w:val="00A64662"/>
    <w:rsid w:val="00A64D59"/>
    <w:rsid w:val="00A7185F"/>
    <w:rsid w:val="00A81731"/>
    <w:rsid w:val="00A94B3E"/>
    <w:rsid w:val="00A97A48"/>
    <w:rsid w:val="00AA4E69"/>
    <w:rsid w:val="00AC256E"/>
    <w:rsid w:val="00AC6066"/>
    <w:rsid w:val="00AE0A26"/>
    <w:rsid w:val="00AE539B"/>
    <w:rsid w:val="00AF6EE5"/>
    <w:rsid w:val="00B65AD8"/>
    <w:rsid w:val="00B71A99"/>
    <w:rsid w:val="00B86826"/>
    <w:rsid w:val="00BB2A33"/>
    <w:rsid w:val="00BB49C8"/>
    <w:rsid w:val="00BF0F4D"/>
    <w:rsid w:val="00BF6FAF"/>
    <w:rsid w:val="00C00BAA"/>
    <w:rsid w:val="00C16C78"/>
    <w:rsid w:val="00C365C6"/>
    <w:rsid w:val="00C4099A"/>
    <w:rsid w:val="00C44E3E"/>
    <w:rsid w:val="00C57F3A"/>
    <w:rsid w:val="00C636DE"/>
    <w:rsid w:val="00C74E1A"/>
    <w:rsid w:val="00C74E6A"/>
    <w:rsid w:val="00C7590E"/>
    <w:rsid w:val="00C965EB"/>
    <w:rsid w:val="00CC36C8"/>
    <w:rsid w:val="00CC61C3"/>
    <w:rsid w:val="00CC723F"/>
    <w:rsid w:val="00CD4269"/>
    <w:rsid w:val="00CE0806"/>
    <w:rsid w:val="00CF47CC"/>
    <w:rsid w:val="00CF53BC"/>
    <w:rsid w:val="00D03C1C"/>
    <w:rsid w:val="00D14DA8"/>
    <w:rsid w:val="00D1730F"/>
    <w:rsid w:val="00D20180"/>
    <w:rsid w:val="00D47B60"/>
    <w:rsid w:val="00D578CF"/>
    <w:rsid w:val="00D64647"/>
    <w:rsid w:val="00D7156B"/>
    <w:rsid w:val="00DE1367"/>
    <w:rsid w:val="00E07A35"/>
    <w:rsid w:val="00E26605"/>
    <w:rsid w:val="00E3033D"/>
    <w:rsid w:val="00E3185F"/>
    <w:rsid w:val="00E37573"/>
    <w:rsid w:val="00E4786C"/>
    <w:rsid w:val="00E51308"/>
    <w:rsid w:val="00E71230"/>
    <w:rsid w:val="00E73B8C"/>
    <w:rsid w:val="00E82BB4"/>
    <w:rsid w:val="00E928F5"/>
    <w:rsid w:val="00EE5A7B"/>
    <w:rsid w:val="00EF27C8"/>
    <w:rsid w:val="00EF34E3"/>
    <w:rsid w:val="00F01890"/>
    <w:rsid w:val="00F07C36"/>
    <w:rsid w:val="00F321F2"/>
    <w:rsid w:val="00F37741"/>
    <w:rsid w:val="00F453AD"/>
    <w:rsid w:val="00F46506"/>
    <w:rsid w:val="00F67AE0"/>
    <w:rsid w:val="00F87FE8"/>
    <w:rsid w:val="00FA2971"/>
    <w:rsid w:val="00FA4DE9"/>
    <w:rsid w:val="00FA68BE"/>
    <w:rsid w:val="00FB67F6"/>
    <w:rsid w:val="00FD0165"/>
    <w:rsid w:val="00FD6A56"/>
    <w:rsid w:val="00FF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травень  2022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98E-2"/>
                  <c:y val="-5.4115729421352898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5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168</c:v>
                </c:pt>
                <c:pt idx="1">
                  <c:v>122</c:v>
                </c:pt>
                <c:pt idx="2">
                  <c:v>45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64E-3"/>
          <c:y val="0.54278805613845982"/>
          <c:w val="0.98285894263217122"/>
          <c:h val="0.44987826399450709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травень 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7E-2"/>
                  <c:y val="-5.4115729421352891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47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345</c:v>
                </c:pt>
                <c:pt idx="1">
                  <c:v>114</c:v>
                </c:pt>
                <c:pt idx="2">
                  <c:v>89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82"/>
          <c:w val="0.98285894263217122"/>
          <c:h val="0.44987826399450703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EBFC-7488-4D89-99A0-7A4E40B8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337</cp:revision>
  <cp:lastPrinted>2022-06-08T08:37:00Z</cp:lastPrinted>
  <dcterms:created xsi:type="dcterms:W3CDTF">2019-01-11T10:29:00Z</dcterms:created>
  <dcterms:modified xsi:type="dcterms:W3CDTF">2022-06-09T13:29:00Z</dcterms:modified>
</cp:coreProperties>
</file>