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BB" w:rsidRPr="00670FBB" w:rsidRDefault="000F1335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        </w:t>
      </w:r>
    </w:p>
    <w:p w:rsid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</w:t>
      </w:r>
    </w:p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6C5C2F">
        <w:rPr>
          <w:rFonts w:eastAsia="Times New Roman" w:cs="Times New Roman"/>
          <w:b/>
          <w:sz w:val="26"/>
          <w:szCs w:val="26"/>
          <w:lang w:val="uk-UA" w:eastAsia="ru-RU"/>
        </w:rPr>
        <w:t xml:space="preserve">квітень </w:t>
      </w:r>
      <w:r w:rsidR="0033217E">
        <w:rPr>
          <w:rFonts w:eastAsia="Times New Roman" w:cs="Times New Roman"/>
          <w:b/>
          <w:sz w:val="26"/>
          <w:szCs w:val="26"/>
          <w:lang w:val="uk-UA" w:eastAsia="ru-RU"/>
        </w:rPr>
        <w:t xml:space="preserve"> 2022 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  <w:r w:rsidR="006C5C2F">
        <w:rPr>
          <w:rFonts w:eastAsia="Times New Roman" w:cs="Times New Roman"/>
          <w:b/>
          <w:sz w:val="26"/>
          <w:szCs w:val="26"/>
          <w:lang w:val="uk-UA" w:eastAsia="ru-RU"/>
        </w:rPr>
        <w:t xml:space="preserve"> в порівнянні з</w:t>
      </w:r>
      <w:r w:rsidR="00093987">
        <w:rPr>
          <w:rFonts w:eastAsia="Times New Roman" w:cs="Times New Roman"/>
          <w:b/>
          <w:sz w:val="26"/>
          <w:szCs w:val="26"/>
          <w:lang w:val="uk-UA" w:eastAsia="ru-RU"/>
        </w:rPr>
        <w:t xml:space="preserve"> квітнем</w:t>
      </w:r>
      <w:r w:rsidR="006C5C2F">
        <w:rPr>
          <w:rFonts w:eastAsia="Times New Roman" w:cs="Times New Roman"/>
          <w:b/>
          <w:sz w:val="26"/>
          <w:szCs w:val="26"/>
          <w:lang w:val="uk-UA" w:eastAsia="ru-RU"/>
        </w:rPr>
        <w:t xml:space="preserve"> 2021 року</w:t>
      </w:r>
    </w:p>
    <w:p w:rsidR="006C5C2F" w:rsidRDefault="006C5C2F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445A91" w:rsidRPr="00445A91" w:rsidRDefault="00445A91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Відповідно до статистичної інформації, враховуючи різні місця реєстрації, протягом квітня 2022 року до Південно-Східного міжрегіонального управління  Міністерства юстиції (м. Дніпро)  </w:t>
      </w:r>
      <w:r w:rsidRPr="00445A91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225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- 673) звернень громадян, з них: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112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- 414)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69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- 126)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44 </w:t>
      </w:r>
      <w:r w:rsidRPr="00445A91">
        <w:rPr>
          <w:rFonts w:eastAsia="PMingLiU" w:cs="Times New Roman"/>
          <w:sz w:val="28"/>
          <w:szCs w:val="28"/>
          <w:lang w:val="uk-UA" w:eastAsia="zh-TW"/>
        </w:rPr>
        <w:t>(у квітні 2021 року - 133)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звернення громадян у Південно-Східному міжрегіональному управлінні Міністерства юстиції(м. Дніпро), що діє у  Кіровоградській області.  </w:t>
      </w:r>
    </w:p>
    <w:p w:rsidR="00445A91" w:rsidRPr="00445A91" w:rsidRDefault="00445A91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Крім зазначеної кількості на розгляд </w:t>
      </w:r>
      <w:r w:rsidRPr="00445A91">
        <w:rPr>
          <w:rFonts w:eastAsia="PMingLiU" w:cs="Times New Roman"/>
          <w:i/>
          <w:sz w:val="28"/>
          <w:szCs w:val="28"/>
          <w:u w:val="single"/>
          <w:lang w:val="uk-UA" w:eastAsia="zh-TW"/>
        </w:rPr>
        <w:t>надійшло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26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- 152)  звернень  від юридичних осіб, з них: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18 </w:t>
      </w:r>
      <w:r w:rsidRPr="00445A91">
        <w:rPr>
          <w:rFonts w:eastAsia="PMingLiU" w:cs="Times New Roman"/>
          <w:sz w:val="28"/>
          <w:szCs w:val="28"/>
          <w:lang w:val="uk-UA" w:eastAsia="zh-TW"/>
        </w:rPr>
        <w:t>(у квітні 2021 року - 87)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5 </w:t>
      </w:r>
      <w:r w:rsidRPr="00445A91">
        <w:rPr>
          <w:rFonts w:eastAsia="PMingLiU" w:cs="Times New Roman"/>
          <w:sz w:val="28"/>
          <w:szCs w:val="28"/>
          <w:lang w:val="uk-UA" w:eastAsia="zh-TW"/>
        </w:rPr>
        <w:t>(у квітні 2021 року - 46)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звернень знаходяться на розгляді у Південно-Східному міжрегіональному управлінні Міністерства юстиції </w:t>
      </w:r>
      <w:r w:rsidR="00093987">
        <w:rPr>
          <w:rFonts w:eastAsia="PMingLiU" w:cs="Times New Roman"/>
          <w:sz w:val="28"/>
          <w:szCs w:val="28"/>
          <w:lang w:val="uk-UA" w:eastAsia="zh-TW"/>
        </w:rPr>
        <w:t xml:space="preserve">     </w:t>
      </w:r>
      <w:bookmarkStart w:id="0" w:name="_GoBack"/>
      <w:bookmarkEnd w:id="0"/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(м. Дніпро), що діє у Запорізькій області та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3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- 19)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звернення у Південно-Східному міжрегіональному управлінні Міністерства юстиції </w:t>
      </w:r>
      <w:r w:rsidR="00093987">
        <w:rPr>
          <w:rFonts w:eastAsia="PMingLiU" w:cs="Times New Roman"/>
          <w:sz w:val="28"/>
          <w:szCs w:val="28"/>
          <w:lang w:val="uk-UA" w:eastAsia="zh-TW"/>
        </w:rPr>
        <w:t xml:space="preserve"> 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(м. Дніпро), що діє у Кіровоградській області. </w:t>
      </w:r>
    </w:p>
    <w:p w:rsidR="00445A91" w:rsidRDefault="00445A91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На «Урядову гарячу лінію» надійшло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85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</w:t>
      </w:r>
      <w:r w:rsidR="00947268">
        <w:rPr>
          <w:rFonts w:eastAsia="PMingLiU" w:cs="Times New Roman"/>
          <w:sz w:val="28"/>
          <w:szCs w:val="28"/>
          <w:lang w:val="uk-UA" w:eastAsia="zh-TW"/>
        </w:rPr>
        <w:t>оку - 290)  звернень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, з них: до Південно-Східного міжрегіонального управління Міністерства юстиції    (м. Дніпро), що діє у Дніпропетровській області –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68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- 195)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звернень; до Південно-Східного   міжрегіонального управління Міністерства юстиції (м. Дніпро), що діє у Запорізькій області –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13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- 50) звернень; до Південно-Східного  міжрегіонального  управління Міністерства юстиції (м. Дніпро), що діє у Кіровоградській  області – 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>4</w:t>
      </w:r>
      <w:r w:rsidRPr="00445A91">
        <w:rPr>
          <w:rFonts w:eastAsia="PMingLiU" w:cs="Times New Roman"/>
          <w:sz w:val="28"/>
          <w:szCs w:val="28"/>
          <w:lang w:val="uk-UA" w:eastAsia="zh-TW"/>
        </w:rPr>
        <w:t xml:space="preserve"> (у квітні 2021 року - 45)</w:t>
      </w:r>
      <w:r w:rsidRPr="00445A91">
        <w:rPr>
          <w:rFonts w:eastAsia="PMingLiU" w:cs="Times New Roman"/>
          <w:b/>
          <w:sz w:val="28"/>
          <w:szCs w:val="28"/>
          <w:lang w:val="uk-UA" w:eastAsia="zh-TW"/>
        </w:rPr>
        <w:t xml:space="preserve"> </w:t>
      </w:r>
      <w:r w:rsidRPr="00445A91">
        <w:rPr>
          <w:rFonts w:eastAsia="PMingLiU" w:cs="Times New Roman"/>
          <w:sz w:val="28"/>
          <w:szCs w:val="28"/>
          <w:lang w:val="uk-UA" w:eastAsia="zh-TW"/>
        </w:rPr>
        <w:t>звернення.</w:t>
      </w:r>
    </w:p>
    <w:p w:rsidR="00920960" w:rsidRDefault="00920960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</w:p>
    <w:p w:rsidR="00920960" w:rsidRDefault="00920960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</w:p>
    <w:p w:rsidR="00920960" w:rsidRDefault="00920960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</w:p>
    <w:p w:rsidR="00920960" w:rsidRPr="00445A91" w:rsidRDefault="00920960" w:rsidP="00445A91">
      <w:pPr>
        <w:spacing w:after="0" w:line="240" w:lineRule="auto"/>
        <w:ind w:firstLine="708"/>
        <w:jc w:val="both"/>
        <w:rPr>
          <w:rFonts w:eastAsia="PMingLiU" w:cs="Times New Roman"/>
          <w:sz w:val="28"/>
          <w:szCs w:val="28"/>
          <w:lang w:val="uk-UA" w:eastAsia="zh-TW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00625" cy="3895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944EE" w:rsidRDefault="009944EE" w:rsidP="00CC36C8">
      <w:pPr>
        <w:spacing w:after="0" w:line="240" w:lineRule="auto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241767" w:rsidRDefault="00241767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CC36C8" w:rsidRDefault="00920960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000625" cy="38957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6C3C7F" w:rsidRDefault="006C3C7F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 w:rsidRPr="006C3C7F">
        <w:rPr>
          <w:rFonts w:eastAsia="Times New Roman" w:cs="Times New Roman"/>
          <w:sz w:val="26"/>
          <w:szCs w:val="26"/>
          <w:lang w:val="uk-UA" w:eastAsia="ru-RU"/>
        </w:rPr>
        <w:t xml:space="preserve">Отже, до </w:t>
      </w:r>
      <w:r w:rsidRPr="006C3C7F">
        <w:rPr>
          <w:rFonts w:eastAsia="Times New Roman" w:cs="Times New Roman"/>
          <w:b/>
          <w:sz w:val="26"/>
          <w:szCs w:val="26"/>
          <w:lang w:val="uk-UA" w:eastAsia="ru-RU"/>
        </w:rPr>
        <w:t>Південно-Східного міжрегіонального управління Міністерства юстиції (м. Дніпро) надійшло:</w:t>
      </w:r>
    </w:p>
    <w:p w:rsidR="006C3C7F" w:rsidRPr="006C3C7F" w:rsidRDefault="0092096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112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 (м. Дніпро)</w:t>
      </w:r>
      <w:r w:rsidR="006C3C7F" w:rsidRPr="006C3C7F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>,</w:t>
      </w:r>
      <w:r w:rsidR="00FD6A56">
        <w:rPr>
          <w:rFonts w:eastAsia="Times New Roman" w:cs="Times New Roman"/>
          <w:i/>
          <w:sz w:val="26"/>
          <w:szCs w:val="26"/>
          <w:u w:val="single"/>
          <w:lang w:val="uk-UA" w:eastAsia="ru-RU"/>
        </w:rPr>
        <w:t xml:space="preserve"> </w:t>
      </w:r>
      <w:r w:rsidR="00FD6A56" w:rsidRPr="00FD6A56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що діє у </w:t>
      </w:r>
      <w:r w:rsidR="00FD6A56" w:rsidRPr="00FD6A56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lastRenderedPageBreak/>
        <w:t>Дніпропетровській області</w:t>
      </w:r>
      <w:r w:rsidR="00093987">
        <w:rPr>
          <w:rFonts w:eastAsia="Times New Roman" w:cs="Times New Roman"/>
          <w:sz w:val="26"/>
          <w:szCs w:val="26"/>
          <w:lang w:val="uk-UA" w:eastAsia="ru-RU"/>
        </w:rPr>
        <w:t xml:space="preserve">, 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>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-  </w:t>
      </w:r>
      <w:r>
        <w:rPr>
          <w:rFonts w:eastAsia="Times New Roman" w:cs="Times New Roman"/>
          <w:sz w:val="26"/>
          <w:szCs w:val="26"/>
          <w:lang w:val="uk-UA" w:eastAsia="ru-RU"/>
        </w:rPr>
        <w:t xml:space="preserve">414 звернень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>
        <w:rPr>
          <w:rFonts w:eastAsia="Times New Roman" w:cs="Times New Roman"/>
          <w:sz w:val="26"/>
          <w:szCs w:val="26"/>
          <w:lang w:val="uk-UA" w:eastAsia="ru-RU"/>
        </w:rPr>
        <w:t>302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>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</w:t>
      </w:r>
      <w:r>
        <w:rPr>
          <w:rFonts w:eastAsia="Times New Roman" w:cs="Times New Roman"/>
          <w:sz w:val="26"/>
          <w:szCs w:val="26"/>
          <w:lang w:val="uk-UA" w:eastAsia="ru-RU"/>
        </w:rPr>
        <w:t>менше</w:t>
      </w:r>
      <w:r w:rsid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Pr="006C3C7F" w:rsidRDefault="0092096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69</w:t>
      </w:r>
      <w:r w:rsid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 звернень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надійшло на розгляд до Південно-Східного міжрегіонального управління Міністерства юстиції, що діє у Запорізькій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року  - </w:t>
      </w:r>
      <w:r>
        <w:rPr>
          <w:rFonts w:eastAsia="Times New Roman" w:cs="Times New Roman"/>
          <w:sz w:val="26"/>
          <w:szCs w:val="26"/>
          <w:lang w:val="uk-UA" w:eastAsia="ru-RU"/>
        </w:rPr>
        <w:t>126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звернень громадян, що на </w:t>
      </w:r>
      <w:r w:rsidR="00E82BB4">
        <w:rPr>
          <w:rFonts w:eastAsia="Times New Roman" w:cs="Times New Roman"/>
          <w:sz w:val="26"/>
          <w:szCs w:val="26"/>
          <w:lang w:val="uk-UA" w:eastAsia="ru-RU"/>
        </w:rPr>
        <w:t>57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звернень 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менше.</w:t>
      </w:r>
    </w:p>
    <w:p w:rsidR="006C3C7F" w:rsidRPr="006C3C7F" w:rsidRDefault="00920960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>44 звернення</w:t>
      </w:r>
      <w:r w:rsidR="006C3C7F" w:rsidRPr="006C3C7F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громадян знаходиться на розгляді у Південно-Східному міжрегіональному управлінні Міністерства юстиції, що</w:t>
      </w:r>
      <w:r w:rsidR="009F7C1E">
        <w:rPr>
          <w:rFonts w:eastAsia="Times New Roman" w:cs="Times New Roman"/>
          <w:b/>
          <w:i/>
          <w:sz w:val="26"/>
          <w:szCs w:val="26"/>
          <w:u w:val="single"/>
          <w:lang w:val="uk-UA" w:eastAsia="ru-RU"/>
        </w:rPr>
        <w:t xml:space="preserve"> діє у Кіровоградській області</w:t>
      </w:r>
      <w:r w:rsidR="006C3C7F" w:rsidRPr="006C3C7F">
        <w:rPr>
          <w:rFonts w:eastAsia="Times New Roman" w:cs="Times New Roman"/>
          <w:i/>
          <w:sz w:val="26"/>
          <w:szCs w:val="26"/>
          <w:lang w:val="uk-UA" w:eastAsia="ru-RU"/>
        </w:rPr>
        <w:t>,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а за аналогічний період  2021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 року –</w:t>
      </w:r>
      <w:r w:rsidR="0076043C">
        <w:rPr>
          <w:rFonts w:eastAsia="Times New Roman" w:cs="Times New Roman"/>
          <w:sz w:val="26"/>
          <w:szCs w:val="26"/>
          <w:lang w:val="uk-UA" w:eastAsia="ru-RU"/>
        </w:rPr>
        <w:t xml:space="preserve"> </w:t>
      </w:r>
      <w:r>
        <w:rPr>
          <w:rFonts w:eastAsia="Times New Roman" w:cs="Times New Roman"/>
          <w:sz w:val="26"/>
          <w:szCs w:val="26"/>
          <w:lang w:val="uk-UA" w:eastAsia="ru-RU"/>
        </w:rPr>
        <w:t>133</w:t>
      </w:r>
      <w:r w:rsidR="000C3DF1">
        <w:rPr>
          <w:rFonts w:eastAsia="Times New Roman" w:cs="Times New Roman"/>
          <w:sz w:val="26"/>
          <w:szCs w:val="26"/>
          <w:lang w:val="uk-UA" w:eastAsia="ru-RU"/>
        </w:rPr>
        <w:t xml:space="preserve"> звернення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 xml:space="preserve"> громадян, що на  </w:t>
      </w:r>
      <w:r w:rsidR="00093987">
        <w:rPr>
          <w:rFonts w:eastAsia="Times New Roman" w:cs="Times New Roman"/>
          <w:sz w:val="26"/>
          <w:szCs w:val="26"/>
          <w:lang w:val="uk-UA" w:eastAsia="ru-RU"/>
        </w:rPr>
        <w:t>8</w:t>
      </w:r>
      <w:r w:rsidR="00E82BB4">
        <w:rPr>
          <w:rFonts w:eastAsia="Times New Roman" w:cs="Times New Roman"/>
          <w:sz w:val="26"/>
          <w:szCs w:val="26"/>
          <w:lang w:val="uk-UA" w:eastAsia="ru-RU"/>
        </w:rPr>
        <w:t>9</w:t>
      </w:r>
      <w:r w:rsidR="00EF34E3">
        <w:rPr>
          <w:rFonts w:eastAsia="Times New Roman" w:cs="Times New Roman"/>
          <w:sz w:val="26"/>
          <w:szCs w:val="26"/>
          <w:lang w:val="uk-UA" w:eastAsia="ru-RU"/>
        </w:rPr>
        <w:t xml:space="preserve"> звернень  менше</w:t>
      </w:r>
      <w:r w:rsidR="006C3C7F" w:rsidRPr="006C3C7F">
        <w:rPr>
          <w:rFonts w:eastAsia="Times New Roman" w:cs="Times New Roman"/>
          <w:sz w:val="26"/>
          <w:szCs w:val="26"/>
          <w:lang w:val="uk-UA" w:eastAsia="ru-RU"/>
        </w:rPr>
        <w:t>.</w:t>
      </w:r>
    </w:p>
    <w:p w:rsidR="006C3C7F" w:rsidRDefault="006C3C7F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F46506" w:rsidRDefault="00F46506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2364F2" w:rsidRPr="006C3C7F" w:rsidRDefault="002364F2" w:rsidP="003933EC">
      <w:pPr>
        <w:spacing w:after="0" w:line="240" w:lineRule="auto"/>
        <w:jc w:val="both"/>
        <w:rPr>
          <w:rFonts w:eastAsia="PMingLiU" w:cs="Times New Roman"/>
          <w:bCs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Начальник відділу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організаційної роботи,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документування та контролю                         </w:t>
      </w:r>
      <w:r>
        <w:rPr>
          <w:rFonts w:eastAsia="PMingLiU" w:cs="Times New Roman"/>
          <w:sz w:val="26"/>
          <w:szCs w:val="26"/>
          <w:lang w:val="uk-UA" w:eastAsia="zh-TW"/>
        </w:rPr>
        <w:t xml:space="preserve">         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Ірина ВАСІНА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>Погоджено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 w:rsidRPr="00670FBB">
        <w:rPr>
          <w:rFonts w:eastAsia="PMingLiU" w:cs="Times New Roman"/>
          <w:sz w:val="26"/>
          <w:szCs w:val="26"/>
          <w:lang w:val="uk-UA" w:eastAsia="zh-TW"/>
        </w:rPr>
        <w:t xml:space="preserve">Перший заступник </w:t>
      </w:r>
    </w:p>
    <w:p w:rsidR="00670FBB" w:rsidRPr="00670FBB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PMingLiU" w:cs="Times New Roman"/>
          <w:sz w:val="26"/>
          <w:szCs w:val="26"/>
          <w:lang w:val="uk-UA" w:eastAsia="zh-TW"/>
        </w:rPr>
        <w:t>начальника управління</w:t>
      </w:r>
      <w:r>
        <w:rPr>
          <w:rFonts w:eastAsia="PMingLiU" w:cs="Times New Roman"/>
          <w:sz w:val="26"/>
          <w:szCs w:val="26"/>
          <w:lang w:val="uk-UA" w:eastAsia="zh-TW"/>
        </w:rPr>
        <w:tab/>
      </w:r>
      <w:r w:rsidR="002364F2">
        <w:rPr>
          <w:rFonts w:eastAsia="PMingLiU" w:cs="Times New Roman"/>
          <w:sz w:val="26"/>
          <w:szCs w:val="26"/>
          <w:lang w:val="uk-UA" w:eastAsia="zh-TW"/>
        </w:rPr>
        <w:t>Ольга ЗАХАРОВА</w:t>
      </w:r>
    </w:p>
    <w:p w:rsidR="008336C8" w:rsidRDefault="008336C8" w:rsidP="00BB2A33">
      <w:pPr>
        <w:spacing w:after="0" w:line="240" w:lineRule="auto"/>
        <w:jc w:val="both"/>
        <w:rPr>
          <w:rFonts w:eastAsia="PMingLiU" w:cs="Times New Roman"/>
          <w:sz w:val="22"/>
          <w:lang w:val="uk-UA" w:eastAsia="zh-TW"/>
        </w:rPr>
      </w:pPr>
    </w:p>
    <w:p w:rsidR="00976208" w:rsidRDefault="00976208" w:rsidP="00BB2A33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BB2A33" w:rsidRDefault="007A1FF6" w:rsidP="00BB2A33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val="uk-UA" w:eastAsia="ru-RU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 xml:space="preserve">Ірина </w:t>
      </w:r>
      <w:proofErr w:type="spellStart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>Матусяк</w:t>
      </w:r>
      <w:proofErr w:type="spellEnd"/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BB2A33" w:rsidSect="007A7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12"/>
    <w:rsid w:val="00022981"/>
    <w:rsid w:val="00022D32"/>
    <w:rsid w:val="000231A9"/>
    <w:rsid w:val="000316FC"/>
    <w:rsid w:val="000477B8"/>
    <w:rsid w:val="00051F71"/>
    <w:rsid w:val="00062816"/>
    <w:rsid w:val="0008227D"/>
    <w:rsid w:val="00093987"/>
    <w:rsid w:val="000C3DF1"/>
    <w:rsid w:val="000D3084"/>
    <w:rsid w:val="000D5573"/>
    <w:rsid w:val="000F1335"/>
    <w:rsid w:val="00112543"/>
    <w:rsid w:val="001314B7"/>
    <w:rsid w:val="00167979"/>
    <w:rsid w:val="00190300"/>
    <w:rsid w:val="001B5BB1"/>
    <w:rsid w:val="001D7087"/>
    <w:rsid w:val="002208CF"/>
    <w:rsid w:val="00235B36"/>
    <w:rsid w:val="002364F2"/>
    <w:rsid w:val="00241767"/>
    <w:rsid w:val="00242D7E"/>
    <w:rsid w:val="0025699C"/>
    <w:rsid w:val="0027066C"/>
    <w:rsid w:val="002A012C"/>
    <w:rsid w:val="002A492A"/>
    <w:rsid w:val="002B312F"/>
    <w:rsid w:val="002C69C0"/>
    <w:rsid w:val="002D73ED"/>
    <w:rsid w:val="002F3679"/>
    <w:rsid w:val="002F6DAE"/>
    <w:rsid w:val="00331C0F"/>
    <w:rsid w:val="0033217E"/>
    <w:rsid w:val="00336808"/>
    <w:rsid w:val="00355BF5"/>
    <w:rsid w:val="0036430E"/>
    <w:rsid w:val="00372EA3"/>
    <w:rsid w:val="003933EC"/>
    <w:rsid w:val="003934B8"/>
    <w:rsid w:val="003A2499"/>
    <w:rsid w:val="00405AE4"/>
    <w:rsid w:val="00412826"/>
    <w:rsid w:val="004138F4"/>
    <w:rsid w:val="00415A7A"/>
    <w:rsid w:val="00430462"/>
    <w:rsid w:val="00445A91"/>
    <w:rsid w:val="00454312"/>
    <w:rsid w:val="004674B8"/>
    <w:rsid w:val="0048736D"/>
    <w:rsid w:val="00493FAF"/>
    <w:rsid w:val="004E0AA4"/>
    <w:rsid w:val="004F3E81"/>
    <w:rsid w:val="005052D3"/>
    <w:rsid w:val="0054221F"/>
    <w:rsid w:val="00583817"/>
    <w:rsid w:val="00611B34"/>
    <w:rsid w:val="00633DCD"/>
    <w:rsid w:val="00641648"/>
    <w:rsid w:val="00643F3D"/>
    <w:rsid w:val="006478D6"/>
    <w:rsid w:val="00662F5B"/>
    <w:rsid w:val="00670FBB"/>
    <w:rsid w:val="00671A46"/>
    <w:rsid w:val="00695D64"/>
    <w:rsid w:val="006C3C7F"/>
    <w:rsid w:val="006C5C2F"/>
    <w:rsid w:val="006E722D"/>
    <w:rsid w:val="007011FE"/>
    <w:rsid w:val="00722060"/>
    <w:rsid w:val="00742532"/>
    <w:rsid w:val="00751375"/>
    <w:rsid w:val="00751865"/>
    <w:rsid w:val="00752515"/>
    <w:rsid w:val="0076043C"/>
    <w:rsid w:val="00762E45"/>
    <w:rsid w:val="0079699C"/>
    <w:rsid w:val="007A1FF6"/>
    <w:rsid w:val="007A741E"/>
    <w:rsid w:val="007A75D6"/>
    <w:rsid w:val="007B6075"/>
    <w:rsid w:val="007C1C5A"/>
    <w:rsid w:val="007E164C"/>
    <w:rsid w:val="007E668D"/>
    <w:rsid w:val="008336C8"/>
    <w:rsid w:val="008546E5"/>
    <w:rsid w:val="0085519E"/>
    <w:rsid w:val="00885196"/>
    <w:rsid w:val="008D2EA1"/>
    <w:rsid w:val="008E04A5"/>
    <w:rsid w:val="00920960"/>
    <w:rsid w:val="009215CA"/>
    <w:rsid w:val="009450FB"/>
    <w:rsid w:val="00947268"/>
    <w:rsid w:val="00947E7D"/>
    <w:rsid w:val="00952D1B"/>
    <w:rsid w:val="0097094B"/>
    <w:rsid w:val="00974A8D"/>
    <w:rsid w:val="00976208"/>
    <w:rsid w:val="00993D28"/>
    <w:rsid w:val="009944EE"/>
    <w:rsid w:val="009A3DB3"/>
    <w:rsid w:val="009B2F65"/>
    <w:rsid w:val="009C179F"/>
    <w:rsid w:val="009E0EEC"/>
    <w:rsid w:val="009F77C8"/>
    <w:rsid w:val="009F7C1E"/>
    <w:rsid w:val="00A15932"/>
    <w:rsid w:val="00A321B9"/>
    <w:rsid w:val="00A64662"/>
    <w:rsid w:val="00A64D59"/>
    <w:rsid w:val="00A7185F"/>
    <w:rsid w:val="00A81731"/>
    <w:rsid w:val="00A94B3E"/>
    <w:rsid w:val="00A97A48"/>
    <w:rsid w:val="00AC256E"/>
    <w:rsid w:val="00AC6066"/>
    <w:rsid w:val="00AE0A26"/>
    <w:rsid w:val="00AE539B"/>
    <w:rsid w:val="00B71A99"/>
    <w:rsid w:val="00B86826"/>
    <w:rsid w:val="00BB2A33"/>
    <w:rsid w:val="00BF6FAF"/>
    <w:rsid w:val="00C00BAA"/>
    <w:rsid w:val="00C16C78"/>
    <w:rsid w:val="00C365C6"/>
    <w:rsid w:val="00C44E3E"/>
    <w:rsid w:val="00C57F3A"/>
    <w:rsid w:val="00C636DE"/>
    <w:rsid w:val="00C74E1A"/>
    <w:rsid w:val="00C74E6A"/>
    <w:rsid w:val="00C7590E"/>
    <w:rsid w:val="00C965EB"/>
    <w:rsid w:val="00CC36C8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786C"/>
    <w:rsid w:val="00E51308"/>
    <w:rsid w:val="00E71230"/>
    <w:rsid w:val="00E73B8C"/>
    <w:rsid w:val="00E82BB4"/>
    <w:rsid w:val="00E928F5"/>
    <w:rsid w:val="00EF27C8"/>
    <w:rsid w:val="00EF34E3"/>
    <w:rsid w:val="00F01890"/>
    <w:rsid w:val="00F07C36"/>
    <w:rsid w:val="00F321F2"/>
    <w:rsid w:val="00F37741"/>
    <w:rsid w:val="00F46506"/>
    <w:rsid w:val="00F67AE0"/>
    <w:rsid w:val="00F87FE8"/>
    <w:rsid w:val="00FA2971"/>
    <w:rsid w:val="00FA68BE"/>
    <w:rsid w:val="00FD0165"/>
    <w:rsid w:val="00FD6A56"/>
    <w:rsid w:val="00FF6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квітень  2022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98E-2"/>
                  <c:y val="-5.4115729421352898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5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112</c:v>
                </c:pt>
                <c:pt idx="1">
                  <c:v>69</c:v>
                </c:pt>
                <c:pt idx="2">
                  <c:v>44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64E-3"/>
          <c:y val="0.54278805613845982"/>
          <c:w val="0.98285894263217122"/>
          <c:h val="0.44987826399450709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0.36000059992500943"/>
          <c:y val="3.1784841075794636E-2"/>
        </c:manualLayout>
      </c:layout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title>
    <c:view3D>
      <c:perspective val="0"/>
    </c:view3D>
    <c:plotArea>
      <c:layout>
        <c:manualLayout>
          <c:layoutTarget val="inner"/>
          <c:xMode val="edge"/>
          <c:yMode val="edge"/>
          <c:x val="0.26095286635577836"/>
          <c:y val="0.17848432066148467"/>
          <c:w val="0.48000089285880387"/>
          <c:h val="0.24449906939929408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квітень 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1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9.417152855893017E-2"/>
                  <c:y val="-5.4115729421352891E-2"/>
                </c:manualLayout>
              </c:layout>
              <c:dLblPos val="bestFit"/>
              <c:showPercent val="1"/>
            </c:dLbl>
            <c:dLbl>
              <c:idx val="1"/>
              <c:layout>
                <c:manualLayout>
                  <c:x val="-0.13594220722409706"/>
                  <c:y val="-2.0968112482272247E-2"/>
                </c:manualLayout>
              </c:layout>
              <c:dLblPos val="bestFit"/>
              <c:showPercent val="1"/>
            </c:dLbl>
            <c:dLbl>
              <c:idx val="2"/>
              <c:layout>
                <c:manualLayout>
                  <c:x val="-9.4362904636920403E-2"/>
                  <c:y val="-6.017159835460667E-2"/>
                </c:manualLayout>
              </c:layout>
              <c:dLblPos val="bestFit"/>
              <c:showPercent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Лист3!$A$2:$A$7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7"/>
                <c:pt idx="0">
                  <c:v>414</c:v>
                </c:pt>
                <c:pt idx="1">
                  <c:v>126</c:v>
                </c:pt>
                <c:pt idx="2">
                  <c:v>133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9.5238095238095247E-3"/>
          <c:y val="0.54278805613845982"/>
          <c:w val="0.98285894263217122"/>
          <c:h val="0.44987826399450703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4557E-3341-44EE-91F7-1C86935AE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272</cp:revision>
  <cp:lastPrinted>2022-05-16T10:54:00Z</cp:lastPrinted>
  <dcterms:created xsi:type="dcterms:W3CDTF">2019-01-11T10:29:00Z</dcterms:created>
  <dcterms:modified xsi:type="dcterms:W3CDTF">2022-05-17T06:16:00Z</dcterms:modified>
</cp:coreProperties>
</file>