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BB" w:rsidRPr="00C726D9" w:rsidRDefault="00670FBB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</w:pPr>
      <w:proofErr w:type="spellStart"/>
      <w:r w:rsidRPr="00C726D9"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  <w:t>Узагальнення</w:t>
      </w:r>
      <w:proofErr w:type="spellEnd"/>
      <w:r w:rsidRPr="00C726D9"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  <w:t xml:space="preserve"> за результатами </w:t>
      </w:r>
      <w:proofErr w:type="spellStart"/>
      <w:r w:rsidRPr="00C726D9"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  <w:t>розгляду</w:t>
      </w:r>
      <w:proofErr w:type="spellEnd"/>
      <w:r w:rsidRPr="00C726D9"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C726D9"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  <w:t>звернень</w:t>
      </w:r>
      <w:proofErr w:type="spellEnd"/>
      <w:r w:rsidRPr="00C726D9"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C726D9"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  <w:t>громадян</w:t>
      </w:r>
      <w:proofErr w:type="spellEnd"/>
    </w:p>
    <w:p w:rsidR="00670FBB" w:rsidRPr="00C726D9" w:rsidRDefault="00022981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C726D9">
        <w:rPr>
          <w:rFonts w:eastAsia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за </w:t>
      </w:r>
      <w:r w:rsidR="00516CD3" w:rsidRPr="00C726D9">
        <w:rPr>
          <w:rFonts w:eastAsia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лютий </w:t>
      </w:r>
      <w:r w:rsidR="007D6488" w:rsidRPr="00C726D9">
        <w:rPr>
          <w:rFonts w:eastAsia="Times New Roman" w:cs="Times New Roman"/>
          <w:b/>
          <w:color w:val="000000" w:themeColor="text1"/>
          <w:sz w:val="26"/>
          <w:szCs w:val="26"/>
          <w:lang w:val="uk-UA" w:eastAsia="ru-RU"/>
        </w:rPr>
        <w:t>2022</w:t>
      </w:r>
      <w:r w:rsidR="00C00BAA" w:rsidRPr="00C726D9">
        <w:rPr>
          <w:rFonts w:eastAsia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року</w:t>
      </w:r>
      <w:r w:rsidR="009C1792" w:rsidRPr="00C726D9">
        <w:rPr>
          <w:rFonts w:eastAsia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в порівнянні з </w:t>
      </w:r>
      <w:r w:rsidR="005659C7">
        <w:rPr>
          <w:rFonts w:eastAsia="Times New Roman" w:cs="Times New Roman"/>
          <w:b/>
          <w:color w:val="000000" w:themeColor="text1"/>
          <w:sz w:val="26"/>
          <w:szCs w:val="26"/>
          <w:lang w:val="uk-UA" w:eastAsia="ru-RU"/>
        </w:rPr>
        <w:t>лютим 2021 року</w:t>
      </w:r>
    </w:p>
    <w:p w:rsidR="006F5ABD" w:rsidRPr="00C726D9" w:rsidRDefault="006F5ABD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E12A41" w:rsidRPr="00E12A41" w:rsidRDefault="00E12A41" w:rsidP="00E12A41">
      <w:pPr>
        <w:spacing w:after="0" w:line="240" w:lineRule="auto"/>
        <w:ind w:firstLine="708"/>
        <w:jc w:val="both"/>
        <w:rPr>
          <w:rFonts w:eastAsia="PMingLiU" w:cs="Times New Roman"/>
          <w:color w:val="000000" w:themeColor="text1"/>
          <w:sz w:val="28"/>
          <w:szCs w:val="28"/>
          <w:lang w:val="uk-UA" w:eastAsia="zh-TW"/>
        </w:rPr>
      </w:pPr>
      <w:r w:rsidRPr="00E12A41">
        <w:rPr>
          <w:rFonts w:eastAsia="PMingLiU" w:cs="Times New Roman"/>
          <w:color w:val="000000" w:themeColor="text1"/>
          <w:sz w:val="28"/>
          <w:szCs w:val="28"/>
          <w:lang w:val="uk-UA" w:eastAsia="zh-TW"/>
        </w:rPr>
        <w:t xml:space="preserve">Відповідно до статистичної інформації, враховуючи різні місця реєстрації, протягом лютого 2022  року до Південно-Східного міжрегіонального управління  Міністерства юстиції (м. Дніпро)  </w:t>
      </w:r>
      <w:r w:rsidRPr="00E12A41">
        <w:rPr>
          <w:rFonts w:eastAsia="PMingLiU" w:cs="Times New Roman"/>
          <w:i/>
          <w:color w:val="000000" w:themeColor="text1"/>
          <w:sz w:val="28"/>
          <w:szCs w:val="28"/>
          <w:u w:val="single"/>
          <w:lang w:val="uk-UA" w:eastAsia="zh-TW"/>
        </w:rPr>
        <w:t>надійшло</w:t>
      </w:r>
      <w:r w:rsidRPr="00E12A41">
        <w:rPr>
          <w:rFonts w:eastAsia="PMingLiU" w:cs="Times New Roman"/>
          <w:color w:val="000000" w:themeColor="text1"/>
          <w:sz w:val="28"/>
          <w:szCs w:val="28"/>
          <w:lang w:val="uk-UA" w:eastAsia="zh-TW"/>
        </w:rPr>
        <w:t xml:space="preserve">  </w:t>
      </w:r>
      <w:r w:rsidRPr="00E12A41">
        <w:rPr>
          <w:rFonts w:eastAsia="PMingLiU" w:cs="Times New Roman"/>
          <w:b/>
          <w:color w:val="000000" w:themeColor="text1"/>
          <w:sz w:val="28"/>
          <w:szCs w:val="28"/>
          <w:lang w:val="uk-UA" w:eastAsia="zh-TW"/>
        </w:rPr>
        <w:t xml:space="preserve">598 </w:t>
      </w:r>
      <w:r w:rsidRPr="00E12A41">
        <w:rPr>
          <w:rFonts w:eastAsia="PMingLiU" w:cs="Times New Roman"/>
          <w:color w:val="000000" w:themeColor="text1"/>
          <w:sz w:val="28"/>
          <w:szCs w:val="28"/>
          <w:lang w:val="uk-UA" w:eastAsia="zh-TW"/>
        </w:rPr>
        <w:t xml:space="preserve"> звернень громадян (за лютий 2021 року – 570), з них: </w:t>
      </w:r>
      <w:r w:rsidRPr="00E12A41">
        <w:rPr>
          <w:rFonts w:eastAsia="PMingLiU" w:cs="Times New Roman"/>
          <w:b/>
          <w:color w:val="000000" w:themeColor="text1"/>
          <w:sz w:val="28"/>
          <w:szCs w:val="28"/>
          <w:lang w:val="uk-UA" w:eastAsia="zh-TW"/>
        </w:rPr>
        <w:t xml:space="preserve">391 </w:t>
      </w:r>
      <w:r w:rsidRPr="00E12A41">
        <w:rPr>
          <w:rFonts w:eastAsia="PMingLiU" w:cs="Times New Roman"/>
          <w:color w:val="000000" w:themeColor="text1"/>
          <w:sz w:val="28"/>
          <w:szCs w:val="28"/>
          <w:lang w:val="uk-UA" w:eastAsia="zh-TW"/>
        </w:rPr>
        <w:t xml:space="preserve">звернення (за лютий 2021 року – 322)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Pr="00E12A41">
        <w:rPr>
          <w:rFonts w:eastAsia="PMingLiU" w:cs="Times New Roman"/>
          <w:b/>
          <w:color w:val="000000" w:themeColor="text1"/>
          <w:sz w:val="28"/>
          <w:szCs w:val="28"/>
          <w:lang w:val="uk-UA" w:eastAsia="zh-TW"/>
        </w:rPr>
        <w:t>122</w:t>
      </w:r>
      <w:r w:rsidRPr="00E12A41">
        <w:rPr>
          <w:rFonts w:eastAsia="PMingLiU" w:cs="Times New Roman"/>
          <w:color w:val="000000" w:themeColor="text1"/>
          <w:sz w:val="28"/>
          <w:szCs w:val="28"/>
          <w:lang w:val="uk-UA" w:eastAsia="zh-TW"/>
        </w:rPr>
        <w:t xml:space="preserve"> звернення (за лютий 2021 року – 137) знаходяться на розгляді у Південно-Східному міжрегіональному управлінні Міністерства юстиції (м. Дніпро), що діє у Запорізькій області та </w:t>
      </w:r>
      <w:r w:rsidRPr="00E12A41">
        <w:rPr>
          <w:rFonts w:eastAsia="PMingLiU" w:cs="Times New Roman"/>
          <w:b/>
          <w:color w:val="000000" w:themeColor="text1"/>
          <w:sz w:val="28"/>
          <w:szCs w:val="28"/>
          <w:lang w:val="uk-UA" w:eastAsia="zh-TW"/>
        </w:rPr>
        <w:t xml:space="preserve">85 </w:t>
      </w:r>
      <w:r w:rsidRPr="00E12A41">
        <w:rPr>
          <w:rFonts w:eastAsia="PMingLiU" w:cs="Times New Roman"/>
          <w:color w:val="000000" w:themeColor="text1"/>
          <w:sz w:val="28"/>
          <w:szCs w:val="28"/>
          <w:lang w:val="uk-UA" w:eastAsia="zh-TW"/>
        </w:rPr>
        <w:t xml:space="preserve">звернень громадян (за лютий 2021 року – 111) у Південно-Східному міжрегіональному управлінні Міністерства юстиції  (м. Дніпро), що діє у  Кіровоградській області.  </w:t>
      </w:r>
    </w:p>
    <w:p w:rsidR="00E12A41" w:rsidRPr="00E12A41" w:rsidRDefault="00E12A41" w:rsidP="00E12A41">
      <w:pPr>
        <w:spacing w:after="0" w:line="240" w:lineRule="auto"/>
        <w:ind w:firstLine="708"/>
        <w:jc w:val="both"/>
        <w:rPr>
          <w:rFonts w:eastAsia="PMingLiU" w:cs="Times New Roman"/>
          <w:color w:val="000000" w:themeColor="text1"/>
          <w:sz w:val="28"/>
          <w:szCs w:val="28"/>
          <w:lang w:val="uk-UA" w:eastAsia="zh-TW"/>
        </w:rPr>
      </w:pPr>
      <w:r w:rsidRPr="00E12A41">
        <w:rPr>
          <w:rFonts w:eastAsia="PMingLiU" w:cs="Times New Roman"/>
          <w:color w:val="000000" w:themeColor="text1"/>
          <w:sz w:val="28"/>
          <w:szCs w:val="28"/>
          <w:lang w:val="uk-UA" w:eastAsia="zh-TW"/>
        </w:rPr>
        <w:t xml:space="preserve">Крім зазначеної кількості на розгляд </w:t>
      </w:r>
      <w:r w:rsidRPr="00E12A41">
        <w:rPr>
          <w:rFonts w:eastAsia="PMingLiU" w:cs="Times New Roman"/>
          <w:i/>
          <w:color w:val="000000" w:themeColor="text1"/>
          <w:sz w:val="28"/>
          <w:szCs w:val="28"/>
          <w:u w:val="single"/>
          <w:lang w:val="uk-UA" w:eastAsia="zh-TW"/>
        </w:rPr>
        <w:t>надійшло</w:t>
      </w:r>
      <w:r w:rsidRPr="00E12A41">
        <w:rPr>
          <w:rFonts w:eastAsia="PMingLiU" w:cs="Times New Roman"/>
          <w:color w:val="000000" w:themeColor="text1"/>
          <w:sz w:val="28"/>
          <w:szCs w:val="28"/>
          <w:lang w:val="uk-UA" w:eastAsia="zh-TW"/>
        </w:rPr>
        <w:t xml:space="preserve"> </w:t>
      </w:r>
      <w:r w:rsidR="00F13753" w:rsidRPr="00C726D9">
        <w:rPr>
          <w:rFonts w:eastAsia="PMingLiU" w:cs="Times New Roman"/>
          <w:b/>
          <w:color w:val="000000" w:themeColor="text1"/>
          <w:sz w:val="28"/>
          <w:szCs w:val="28"/>
          <w:lang w:val="uk-UA" w:eastAsia="zh-TW"/>
        </w:rPr>
        <w:t xml:space="preserve">128 </w:t>
      </w:r>
      <w:r w:rsidRPr="00E12A41">
        <w:rPr>
          <w:rFonts w:eastAsia="PMingLiU" w:cs="Times New Roman"/>
          <w:color w:val="000000" w:themeColor="text1"/>
          <w:sz w:val="28"/>
          <w:szCs w:val="28"/>
          <w:lang w:val="uk-UA" w:eastAsia="zh-TW"/>
        </w:rPr>
        <w:t xml:space="preserve"> звернень (за лютий 2021 року – 112) від юридичних осіб, з них: </w:t>
      </w:r>
      <w:r w:rsidRPr="00E12A41">
        <w:rPr>
          <w:rFonts w:eastAsia="PMingLiU" w:cs="Times New Roman"/>
          <w:b/>
          <w:color w:val="000000" w:themeColor="text1"/>
          <w:sz w:val="28"/>
          <w:szCs w:val="28"/>
          <w:lang w:val="uk-UA" w:eastAsia="zh-TW"/>
        </w:rPr>
        <w:t xml:space="preserve">109 </w:t>
      </w:r>
      <w:r w:rsidRPr="00E12A41">
        <w:rPr>
          <w:rFonts w:eastAsia="PMingLiU" w:cs="Times New Roman"/>
          <w:color w:val="000000" w:themeColor="text1"/>
          <w:sz w:val="28"/>
          <w:szCs w:val="28"/>
          <w:lang w:val="uk-UA" w:eastAsia="zh-TW"/>
        </w:rPr>
        <w:t xml:space="preserve">звернень  (за лютий 2021 року – 74)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Pr="00E12A41">
        <w:rPr>
          <w:rFonts w:eastAsia="PMingLiU" w:cs="Times New Roman"/>
          <w:b/>
          <w:color w:val="000000" w:themeColor="text1"/>
          <w:sz w:val="28"/>
          <w:szCs w:val="28"/>
          <w:lang w:val="uk-UA" w:eastAsia="zh-TW"/>
        </w:rPr>
        <w:t xml:space="preserve">10 </w:t>
      </w:r>
      <w:r w:rsidRPr="00E12A41">
        <w:rPr>
          <w:rFonts w:eastAsia="PMingLiU" w:cs="Times New Roman"/>
          <w:color w:val="000000" w:themeColor="text1"/>
          <w:sz w:val="28"/>
          <w:szCs w:val="28"/>
          <w:lang w:val="uk-UA" w:eastAsia="zh-TW"/>
        </w:rPr>
        <w:t xml:space="preserve">звернень (за лютий 2021 року – 22) знаходяться на розгляді у Південно-Східному міжрегіональному управлінні Міністерства юстиції                              (м. Дніпро), що діє у Запорізькій області та </w:t>
      </w:r>
      <w:r w:rsidRPr="00E12A41">
        <w:rPr>
          <w:rFonts w:eastAsia="PMingLiU" w:cs="Times New Roman"/>
          <w:b/>
          <w:color w:val="000000" w:themeColor="text1"/>
          <w:sz w:val="28"/>
          <w:szCs w:val="28"/>
          <w:lang w:val="uk-UA" w:eastAsia="zh-TW"/>
        </w:rPr>
        <w:t>9</w:t>
      </w:r>
      <w:r w:rsidRPr="00E12A41">
        <w:rPr>
          <w:rFonts w:eastAsia="PMingLiU" w:cs="Times New Roman"/>
          <w:color w:val="000000" w:themeColor="text1"/>
          <w:sz w:val="28"/>
          <w:szCs w:val="28"/>
          <w:lang w:val="uk-UA" w:eastAsia="zh-TW"/>
        </w:rPr>
        <w:t xml:space="preserve"> звернень (за лютий 2021 року – 16) у Південно-Східному міжрегіональному управлінні Міністерства юстиції                   (м. Дніпро), що діє у Кіровоградській області. </w:t>
      </w:r>
    </w:p>
    <w:p w:rsidR="00E12A41" w:rsidRPr="00E12A41" w:rsidRDefault="00E12A41" w:rsidP="00E12A41">
      <w:pPr>
        <w:spacing w:after="0" w:line="240" w:lineRule="auto"/>
        <w:ind w:firstLine="708"/>
        <w:jc w:val="both"/>
        <w:rPr>
          <w:rFonts w:eastAsia="PMingLiU" w:cs="Times New Roman"/>
          <w:sz w:val="28"/>
          <w:szCs w:val="28"/>
          <w:lang w:val="uk-UA" w:eastAsia="zh-TW"/>
        </w:rPr>
      </w:pPr>
      <w:r w:rsidRPr="00E12A41">
        <w:rPr>
          <w:rFonts w:eastAsia="PMingLiU" w:cs="Times New Roman"/>
          <w:sz w:val="28"/>
          <w:szCs w:val="28"/>
          <w:lang w:val="uk-UA" w:eastAsia="zh-TW"/>
        </w:rPr>
        <w:t xml:space="preserve">На «Урядову гарячу лінію» надійшло </w:t>
      </w:r>
      <w:r w:rsidRPr="00E12A41">
        <w:rPr>
          <w:rFonts w:eastAsia="PMingLiU" w:cs="Times New Roman"/>
          <w:b/>
          <w:sz w:val="28"/>
          <w:szCs w:val="28"/>
          <w:lang w:val="uk-UA" w:eastAsia="zh-TW"/>
        </w:rPr>
        <w:t>352</w:t>
      </w:r>
      <w:r w:rsidRPr="00E12A41">
        <w:rPr>
          <w:rFonts w:eastAsia="PMingLiU" w:cs="Times New Roman"/>
          <w:sz w:val="28"/>
          <w:szCs w:val="28"/>
          <w:lang w:val="uk-UA" w:eastAsia="zh-TW"/>
        </w:rPr>
        <w:t xml:space="preserve"> звернення</w:t>
      </w:r>
      <w:r>
        <w:rPr>
          <w:rFonts w:eastAsia="PMingLiU" w:cs="Times New Roman"/>
          <w:sz w:val="28"/>
          <w:szCs w:val="28"/>
          <w:lang w:val="uk-UA" w:eastAsia="zh-TW"/>
        </w:rPr>
        <w:t xml:space="preserve"> </w:t>
      </w:r>
      <w:r w:rsidRPr="00E12A41">
        <w:rPr>
          <w:rFonts w:eastAsia="Times New Roman" w:cs="Times New Roman"/>
          <w:sz w:val="28"/>
          <w:szCs w:val="24"/>
          <w:lang w:val="uk-UA" w:eastAsia="ru-RU"/>
        </w:rPr>
        <w:t xml:space="preserve"> </w:t>
      </w:r>
      <w:r w:rsidRPr="00E12A41">
        <w:rPr>
          <w:rFonts w:eastAsia="PMingLiU" w:cs="Times New Roman"/>
          <w:sz w:val="28"/>
          <w:szCs w:val="28"/>
          <w:lang w:val="uk-UA" w:eastAsia="zh-TW"/>
        </w:rPr>
        <w:t>(за лютий</w:t>
      </w:r>
      <w:r>
        <w:rPr>
          <w:rFonts w:eastAsia="PMingLiU" w:cs="Times New Roman"/>
          <w:sz w:val="28"/>
          <w:szCs w:val="28"/>
          <w:lang w:val="uk-UA" w:eastAsia="zh-TW"/>
        </w:rPr>
        <w:t xml:space="preserve">                   </w:t>
      </w:r>
      <w:r w:rsidRPr="00E12A41">
        <w:rPr>
          <w:rFonts w:eastAsia="PMingLiU" w:cs="Times New Roman"/>
          <w:sz w:val="28"/>
          <w:szCs w:val="28"/>
          <w:lang w:val="uk-UA" w:eastAsia="zh-TW"/>
        </w:rPr>
        <w:t xml:space="preserve"> 2021 року – 329), з них: до Південно-Східного   міжрегіонального  управління Міністерства юстиції  (м. Дніпро), що діє у Дніпропетровській області – </w:t>
      </w:r>
      <w:r w:rsidRPr="00E12A41">
        <w:rPr>
          <w:rFonts w:eastAsia="PMingLiU" w:cs="Times New Roman"/>
          <w:b/>
          <w:sz w:val="28"/>
          <w:szCs w:val="28"/>
          <w:lang w:val="uk-UA" w:eastAsia="zh-TW"/>
        </w:rPr>
        <w:t xml:space="preserve">233 </w:t>
      </w:r>
      <w:r w:rsidRPr="00E12A41">
        <w:rPr>
          <w:rFonts w:eastAsia="PMingLiU" w:cs="Times New Roman"/>
          <w:sz w:val="28"/>
          <w:szCs w:val="28"/>
          <w:lang w:val="uk-UA" w:eastAsia="zh-TW"/>
        </w:rPr>
        <w:t xml:space="preserve">(за лютий 2021 року – 203) до Південно-Східного   міжрегіонального  управління Міністерства юстиції  (м. Дніпро), що діє у Запорізькій області – </w:t>
      </w:r>
      <w:r w:rsidRPr="00E12A41">
        <w:rPr>
          <w:rFonts w:eastAsia="PMingLiU" w:cs="Times New Roman"/>
          <w:b/>
          <w:sz w:val="28"/>
          <w:szCs w:val="28"/>
          <w:lang w:val="uk-UA" w:eastAsia="zh-TW"/>
        </w:rPr>
        <w:t xml:space="preserve">74 </w:t>
      </w:r>
      <w:r w:rsidRPr="00E12A41">
        <w:rPr>
          <w:rFonts w:eastAsia="PMingLiU" w:cs="Times New Roman"/>
          <w:sz w:val="28"/>
          <w:szCs w:val="28"/>
          <w:lang w:val="uk-UA" w:eastAsia="zh-TW"/>
        </w:rPr>
        <w:t xml:space="preserve">(за лютий 2021 року – 75); до Південно-Східного   міжрегіонального  управління Міністерства юстиції (м. Дніпро), що діє у Кіровоградській  області – </w:t>
      </w:r>
      <w:r w:rsidRPr="00E12A41">
        <w:rPr>
          <w:rFonts w:eastAsia="PMingLiU" w:cs="Times New Roman"/>
          <w:b/>
          <w:sz w:val="28"/>
          <w:szCs w:val="28"/>
          <w:lang w:val="uk-UA" w:eastAsia="zh-TW"/>
        </w:rPr>
        <w:t xml:space="preserve">45 </w:t>
      </w:r>
      <w:r w:rsidRPr="00E12A41">
        <w:rPr>
          <w:rFonts w:eastAsia="PMingLiU" w:cs="Times New Roman"/>
          <w:sz w:val="28"/>
          <w:szCs w:val="28"/>
          <w:lang w:val="uk-UA" w:eastAsia="zh-TW"/>
        </w:rPr>
        <w:t>(за лютий 2020 року – 51).</w:t>
      </w:r>
    </w:p>
    <w:p w:rsidR="009944EE" w:rsidRDefault="009944EE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241767" w:rsidRDefault="00241767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E04A5" w:rsidRDefault="008E04A5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9944EE" w:rsidRDefault="0012173C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9D1E354" wp14:editId="2226768D">
            <wp:extent cx="5000625" cy="38957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A6FD8" w:rsidRDefault="009A6FD8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9A6FD8" w:rsidRDefault="009A6FD8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9A6FD8" w:rsidRDefault="009A6FD8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47141CC5" wp14:editId="4DD7948D">
            <wp:extent cx="5000625" cy="3895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C3C7F" w:rsidRDefault="006C3C7F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C3C7F" w:rsidRPr="006C3C7F" w:rsidRDefault="006C3C7F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6C3C7F">
        <w:rPr>
          <w:rFonts w:eastAsia="Times New Roman" w:cs="Times New Roman"/>
          <w:sz w:val="26"/>
          <w:szCs w:val="26"/>
          <w:lang w:val="uk-UA" w:eastAsia="ru-RU"/>
        </w:rPr>
        <w:t xml:space="preserve">Отже, до </w:t>
      </w:r>
      <w:r w:rsidRPr="006C3C7F">
        <w:rPr>
          <w:rFonts w:eastAsia="Times New Roman" w:cs="Times New Roman"/>
          <w:b/>
          <w:sz w:val="26"/>
          <w:szCs w:val="26"/>
          <w:lang w:val="uk-UA" w:eastAsia="ru-RU"/>
        </w:rPr>
        <w:t>Південно-Східного міжрегіонального управління Міністерства юстиції (м. Дніпро) надійшло:</w:t>
      </w:r>
    </w:p>
    <w:p w:rsidR="006C3C7F" w:rsidRPr="006C3C7F" w:rsidRDefault="00DD5300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lastRenderedPageBreak/>
        <w:t>391</w:t>
      </w:r>
      <w:r w:rsidR="00770285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звернення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</w:t>
      </w:r>
      <w:r w:rsidR="00623B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, які знаходя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ться на розгляді у Південно-Східному міжрегіональному управлінні Міністерства юстиції (м. Дніпро)</w:t>
      </w:r>
      <w:r w:rsidR="006C3C7F" w:rsidRPr="006C3C7F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>,</w:t>
      </w:r>
      <w:r w:rsidR="009D3F14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 xml:space="preserve"> </w:t>
      </w:r>
      <w:r w:rsidR="009D3F14" w:rsidRPr="009D3F14">
        <w:rPr>
          <w:rFonts w:eastAsia="Times New Roman" w:cs="Times New Roman"/>
          <w:sz w:val="26"/>
          <w:szCs w:val="26"/>
          <w:lang w:val="uk-UA" w:eastAsia="ru-RU"/>
        </w:rPr>
        <w:t>що діє у Дніпропетровській області</w:t>
      </w:r>
      <w:r w:rsidR="005659C7">
        <w:rPr>
          <w:rFonts w:eastAsia="Times New Roman" w:cs="Times New Roman"/>
          <w:sz w:val="26"/>
          <w:szCs w:val="26"/>
          <w:lang w:val="uk-UA" w:eastAsia="ru-RU"/>
        </w:rPr>
        <w:t>,</w:t>
      </w:r>
      <w:r w:rsidR="009D3F14" w:rsidRPr="009D3F14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6C3C7F" w:rsidRPr="009D3F14">
        <w:rPr>
          <w:rFonts w:eastAsia="Times New Roman" w:cs="Times New Roman"/>
          <w:sz w:val="26"/>
          <w:szCs w:val="26"/>
          <w:lang w:val="uk-UA" w:eastAsia="ru-RU"/>
        </w:rPr>
        <w:t xml:space="preserve"> а</w:t>
      </w:r>
      <w:r w:rsidR="009A6FD8">
        <w:rPr>
          <w:rFonts w:eastAsia="Times New Roman" w:cs="Times New Roman"/>
          <w:sz w:val="26"/>
          <w:szCs w:val="26"/>
          <w:lang w:val="uk-UA" w:eastAsia="ru-RU"/>
        </w:rPr>
        <w:t xml:space="preserve"> за аналогічний період  2021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-  </w:t>
      </w:r>
      <w:r>
        <w:rPr>
          <w:rFonts w:eastAsia="Times New Roman" w:cs="Times New Roman"/>
          <w:sz w:val="26"/>
          <w:szCs w:val="26"/>
          <w:lang w:val="uk-UA" w:eastAsia="ru-RU"/>
        </w:rPr>
        <w:t>322 звернення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громадян, що на  </w:t>
      </w:r>
      <w:r w:rsidR="00E731DE">
        <w:rPr>
          <w:rFonts w:eastAsia="Times New Roman" w:cs="Times New Roman"/>
          <w:sz w:val="26"/>
          <w:szCs w:val="26"/>
          <w:lang w:val="uk-UA" w:eastAsia="ru-RU"/>
        </w:rPr>
        <w:t>69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звернень  </w:t>
      </w:r>
      <w:r w:rsidR="00E731DE">
        <w:rPr>
          <w:rFonts w:eastAsia="Times New Roman" w:cs="Times New Roman"/>
          <w:sz w:val="26"/>
          <w:szCs w:val="26"/>
          <w:lang w:val="uk-UA" w:eastAsia="ru-RU"/>
        </w:rPr>
        <w:t>більше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Pr="006C3C7F" w:rsidRDefault="00DD5300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122 звернення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</w:t>
      </w:r>
      <w:r w:rsidR="00623B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, які надійшли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на розгляд до Південно-Східного міжрегіонального управління Міністерства юстиції, що діє у Запорізькій області</w:t>
      </w:r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 w:rsidR="009A6FD8"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2021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року  - </w:t>
      </w:r>
      <w:r>
        <w:rPr>
          <w:rFonts w:eastAsia="Times New Roman" w:cs="Times New Roman"/>
          <w:sz w:val="26"/>
          <w:szCs w:val="26"/>
          <w:lang w:val="uk-UA" w:eastAsia="ru-RU"/>
        </w:rPr>
        <w:t>137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звернень громадян, що на </w:t>
      </w:r>
      <w:r w:rsidR="00B811DB">
        <w:rPr>
          <w:rFonts w:eastAsia="Times New Roman" w:cs="Times New Roman"/>
          <w:sz w:val="26"/>
          <w:szCs w:val="26"/>
          <w:lang w:val="uk-UA" w:eastAsia="ru-RU"/>
        </w:rPr>
        <w:t>15 звернень менше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Pr="006C3C7F" w:rsidRDefault="00DD5300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85 </w:t>
      </w:r>
      <w:r w:rsidR="00523515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звернень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</w:t>
      </w:r>
      <w:r w:rsidR="00623B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, які знаходя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ться на розгляді у Південно-Східному міжрегіональному управлінні Міністерства юстиції, що діє у Кіровоградській області</w:t>
      </w:r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 w:rsidR="009A6FD8"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 2021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–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 111</w:t>
      </w:r>
      <w:r w:rsidR="00E728C8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звернень громадян, що на  </w:t>
      </w:r>
      <w:r w:rsidR="00DF71C8">
        <w:rPr>
          <w:rFonts w:eastAsia="Times New Roman" w:cs="Times New Roman"/>
          <w:sz w:val="26"/>
          <w:szCs w:val="26"/>
          <w:lang w:val="uk-UA" w:eastAsia="ru-RU"/>
        </w:rPr>
        <w:t>26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звернень  менше.</w:t>
      </w:r>
    </w:p>
    <w:p w:rsidR="009D3F14" w:rsidRPr="006C3C7F" w:rsidRDefault="009D3F14" w:rsidP="003933EC">
      <w:pPr>
        <w:spacing w:after="0" w:line="240" w:lineRule="auto"/>
        <w:jc w:val="both"/>
        <w:rPr>
          <w:rFonts w:eastAsia="PMingLiU" w:cs="Times New Roman"/>
          <w:bCs/>
          <w:sz w:val="26"/>
          <w:szCs w:val="26"/>
          <w:lang w:val="uk-UA" w:eastAsia="zh-TW"/>
        </w:rPr>
      </w:pPr>
      <w:bookmarkStart w:id="0" w:name="_GoBack"/>
      <w:bookmarkEnd w:id="0"/>
    </w:p>
    <w:sectPr w:rsidR="009D3F14" w:rsidRPr="006C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11"/>
  </w:num>
  <w:num w:numId="5">
    <w:abstractNumId w:val="7"/>
  </w:num>
  <w:num w:numId="6">
    <w:abstractNumId w:val="20"/>
  </w:num>
  <w:num w:numId="7">
    <w:abstractNumId w:val="15"/>
  </w:num>
  <w:num w:numId="8">
    <w:abstractNumId w:val="2"/>
  </w:num>
  <w:num w:numId="9">
    <w:abstractNumId w:val="30"/>
  </w:num>
  <w:num w:numId="10">
    <w:abstractNumId w:val="26"/>
  </w:num>
  <w:num w:numId="11">
    <w:abstractNumId w:val="17"/>
  </w:num>
  <w:num w:numId="12">
    <w:abstractNumId w:val="22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29"/>
  </w:num>
  <w:num w:numId="18">
    <w:abstractNumId w:val="18"/>
  </w:num>
  <w:num w:numId="19">
    <w:abstractNumId w:val="24"/>
  </w:num>
  <w:num w:numId="20">
    <w:abstractNumId w:val="10"/>
  </w:num>
  <w:num w:numId="21">
    <w:abstractNumId w:val="9"/>
  </w:num>
  <w:num w:numId="22">
    <w:abstractNumId w:val="21"/>
  </w:num>
  <w:num w:numId="23">
    <w:abstractNumId w:val="25"/>
  </w:num>
  <w:num w:numId="24">
    <w:abstractNumId w:val="28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3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4"/>
  </w:num>
  <w:num w:numId="33">
    <w:abstractNumId w:val="11"/>
  </w:num>
  <w:num w:numId="34">
    <w:abstractNumId w:val="3"/>
  </w:num>
  <w:num w:numId="35">
    <w:abstractNumId w:val="12"/>
  </w:num>
  <w:num w:numId="36">
    <w:abstractNumId w:val="1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12"/>
    <w:rsid w:val="00022981"/>
    <w:rsid w:val="00022D32"/>
    <w:rsid w:val="000231A9"/>
    <w:rsid w:val="000316FC"/>
    <w:rsid w:val="0004623A"/>
    <w:rsid w:val="000477B8"/>
    <w:rsid w:val="00051F71"/>
    <w:rsid w:val="00062816"/>
    <w:rsid w:val="0008227D"/>
    <w:rsid w:val="000D3084"/>
    <w:rsid w:val="000D5573"/>
    <w:rsid w:val="00112543"/>
    <w:rsid w:val="0012173C"/>
    <w:rsid w:val="001272B9"/>
    <w:rsid w:val="001314B7"/>
    <w:rsid w:val="00167979"/>
    <w:rsid w:val="00190300"/>
    <w:rsid w:val="001B5BB1"/>
    <w:rsid w:val="001D7087"/>
    <w:rsid w:val="002208CF"/>
    <w:rsid w:val="00235B36"/>
    <w:rsid w:val="002364F2"/>
    <w:rsid w:val="00241767"/>
    <w:rsid w:val="00242D7E"/>
    <w:rsid w:val="0025699C"/>
    <w:rsid w:val="0027066C"/>
    <w:rsid w:val="002A012C"/>
    <w:rsid w:val="002A492A"/>
    <w:rsid w:val="002B312F"/>
    <w:rsid w:val="002C69C0"/>
    <w:rsid w:val="002D73ED"/>
    <w:rsid w:val="002F3679"/>
    <w:rsid w:val="002F6DAE"/>
    <w:rsid w:val="00336808"/>
    <w:rsid w:val="00355BF5"/>
    <w:rsid w:val="0036430E"/>
    <w:rsid w:val="00372EA3"/>
    <w:rsid w:val="003933EC"/>
    <w:rsid w:val="003934B8"/>
    <w:rsid w:val="003A2499"/>
    <w:rsid w:val="00405AE4"/>
    <w:rsid w:val="00412826"/>
    <w:rsid w:val="004138F4"/>
    <w:rsid w:val="00415A7A"/>
    <w:rsid w:val="00430462"/>
    <w:rsid w:val="00454312"/>
    <w:rsid w:val="004674B8"/>
    <w:rsid w:val="0048736D"/>
    <w:rsid w:val="00493FAF"/>
    <w:rsid w:val="004E0AA4"/>
    <w:rsid w:val="004F3E81"/>
    <w:rsid w:val="005052D3"/>
    <w:rsid w:val="00516CD3"/>
    <w:rsid w:val="00523515"/>
    <w:rsid w:val="0054221F"/>
    <w:rsid w:val="005659C7"/>
    <w:rsid w:val="00583817"/>
    <w:rsid w:val="005E68DA"/>
    <w:rsid w:val="00611B34"/>
    <w:rsid w:val="00623BC8"/>
    <w:rsid w:val="00633DCD"/>
    <w:rsid w:val="00641648"/>
    <w:rsid w:val="00645FDE"/>
    <w:rsid w:val="006478D6"/>
    <w:rsid w:val="00662F5B"/>
    <w:rsid w:val="00670FBB"/>
    <w:rsid w:val="00671A46"/>
    <w:rsid w:val="00695D64"/>
    <w:rsid w:val="006C3C7F"/>
    <w:rsid w:val="006E722D"/>
    <w:rsid w:val="006F5ABD"/>
    <w:rsid w:val="007011FE"/>
    <w:rsid w:val="00722060"/>
    <w:rsid w:val="00742532"/>
    <w:rsid w:val="00751865"/>
    <w:rsid w:val="00752515"/>
    <w:rsid w:val="00762E45"/>
    <w:rsid w:val="00770285"/>
    <w:rsid w:val="0079699C"/>
    <w:rsid w:val="007A1FF6"/>
    <w:rsid w:val="007A75D6"/>
    <w:rsid w:val="007B4E59"/>
    <w:rsid w:val="007B6075"/>
    <w:rsid w:val="007C1C5A"/>
    <w:rsid w:val="007D6488"/>
    <w:rsid w:val="007E164C"/>
    <w:rsid w:val="007E668D"/>
    <w:rsid w:val="008336C8"/>
    <w:rsid w:val="008546E5"/>
    <w:rsid w:val="0085519E"/>
    <w:rsid w:val="00897877"/>
    <w:rsid w:val="008D2EA1"/>
    <w:rsid w:val="008E04A5"/>
    <w:rsid w:val="009215CA"/>
    <w:rsid w:val="009450FB"/>
    <w:rsid w:val="00947E7D"/>
    <w:rsid w:val="00952D1B"/>
    <w:rsid w:val="0097094B"/>
    <w:rsid w:val="00974A8D"/>
    <w:rsid w:val="00993D28"/>
    <w:rsid w:val="009944EE"/>
    <w:rsid w:val="009A3DB3"/>
    <w:rsid w:val="009A6FD8"/>
    <w:rsid w:val="009C1792"/>
    <w:rsid w:val="009C179F"/>
    <w:rsid w:val="009D3F14"/>
    <w:rsid w:val="009E0EEC"/>
    <w:rsid w:val="009F77C8"/>
    <w:rsid w:val="00A15932"/>
    <w:rsid w:val="00A321B9"/>
    <w:rsid w:val="00A60655"/>
    <w:rsid w:val="00A64662"/>
    <w:rsid w:val="00A64D59"/>
    <w:rsid w:val="00A7185F"/>
    <w:rsid w:val="00A81731"/>
    <w:rsid w:val="00A94B3E"/>
    <w:rsid w:val="00A97A48"/>
    <w:rsid w:val="00AC256E"/>
    <w:rsid w:val="00AC6066"/>
    <w:rsid w:val="00AE0A26"/>
    <w:rsid w:val="00AE539B"/>
    <w:rsid w:val="00B71A99"/>
    <w:rsid w:val="00B811DB"/>
    <w:rsid w:val="00B86826"/>
    <w:rsid w:val="00BB2A33"/>
    <w:rsid w:val="00BF6FAF"/>
    <w:rsid w:val="00C00BAA"/>
    <w:rsid w:val="00C16C78"/>
    <w:rsid w:val="00C365C6"/>
    <w:rsid w:val="00C44E3E"/>
    <w:rsid w:val="00C57F3A"/>
    <w:rsid w:val="00C636DE"/>
    <w:rsid w:val="00C726D9"/>
    <w:rsid w:val="00C74E1A"/>
    <w:rsid w:val="00C74E6A"/>
    <w:rsid w:val="00C7590E"/>
    <w:rsid w:val="00C965EB"/>
    <w:rsid w:val="00CC61C3"/>
    <w:rsid w:val="00CC723F"/>
    <w:rsid w:val="00CD4269"/>
    <w:rsid w:val="00CE0806"/>
    <w:rsid w:val="00CF1764"/>
    <w:rsid w:val="00CF47CC"/>
    <w:rsid w:val="00CF53BC"/>
    <w:rsid w:val="00D03C1C"/>
    <w:rsid w:val="00D1730F"/>
    <w:rsid w:val="00D20180"/>
    <w:rsid w:val="00D47B60"/>
    <w:rsid w:val="00D64647"/>
    <w:rsid w:val="00DD5300"/>
    <w:rsid w:val="00DE1367"/>
    <w:rsid w:val="00DF71C8"/>
    <w:rsid w:val="00E07A35"/>
    <w:rsid w:val="00E12A41"/>
    <w:rsid w:val="00E26605"/>
    <w:rsid w:val="00E3033D"/>
    <w:rsid w:val="00E4786C"/>
    <w:rsid w:val="00E51308"/>
    <w:rsid w:val="00E71230"/>
    <w:rsid w:val="00E728C8"/>
    <w:rsid w:val="00E731DE"/>
    <w:rsid w:val="00E73B8C"/>
    <w:rsid w:val="00E828A5"/>
    <w:rsid w:val="00E928F5"/>
    <w:rsid w:val="00EA6647"/>
    <w:rsid w:val="00EF27C8"/>
    <w:rsid w:val="00F01890"/>
    <w:rsid w:val="00F07C36"/>
    <w:rsid w:val="00F13753"/>
    <w:rsid w:val="00F321F2"/>
    <w:rsid w:val="00F37741"/>
    <w:rsid w:val="00F67AE0"/>
    <w:rsid w:val="00F87FE8"/>
    <w:rsid w:val="00FA2971"/>
    <w:rsid w:val="00FA68BE"/>
    <w:rsid w:val="00FD0165"/>
    <w:rsid w:val="00FF3631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3462E-93C7-4023-9AB2-A688295C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Название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6000059992500932"/>
          <c:y val="3.17848410757946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лютий  2022 року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35942207224097"/>
                  <c:y val="-2.09681124822722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2904636920389E-2"/>
                  <c:y val="-6.01715983546066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391</c:v>
                </c:pt>
                <c:pt idx="1">
                  <c:v>122</c:v>
                </c:pt>
                <c:pt idx="2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47E-3"/>
          <c:y val="0.54278805613845948"/>
          <c:w val="0.982858942632171"/>
          <c:h val="0.44987826399450681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6000059992500932"/>
          <c:y val="3.17848410757946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лютий  2021 року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35942207224097"/>
                  <c:y val="-2.09681124822722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2904636920389E-2"/>
                  <c:y val="-6.01715983546066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322</c:v>
                </c:pt>
                <c:pt idx="1">
                  <c:v>137</c:v>
                </c:pt>
                <c:pt idx="2">
                  <c:v>111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47E-3"/>
          <c:y val="0.54278805613845948"/>
          <c:w val="0.982858942632171"/>
          <c:h val="0.44987826399450681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977A-DD02-4237-BA3C-6EC2F6F7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arusinova533@gmail.com</cp:lastModifiedBy>
  <cp:revision>289</cp:revision>
  <cp:lastPrinted>2022-03-10T11:43:00Z</cp:lastPrinted>
  <dcterms:created xsi:type="dcterms:W3CDTF">2019-01-11T10:29:00Z</dcterms:created>
  <dcterms:modified xsi:type="dcterms:W3CDTF">2022-03-16T08:02:00Z</dcterms:modified>
</cp:coreProperties>
</file>