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</w:t>
      </w:r>
    </w:p>
    <w:p w:rsidR="009944EE" w:rsidRP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33217E">
        <w:rPr>
          <w:rFonts w:eastAsia="Times New Roman" w:cs="Times New Roman"/>
          <w:b/>
          <w:sz w:val="26"/>
          <w:szCs w:val="26"/>
          <w:lang w:val="uk-UA" w:eastAsia="ru-RU"/>
        </w:rPr>
        <w:t xml:space="preserve">січень 2022 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</w:p>
    <w:p w:rsidR="00643F3D" w:rsidRPr="00643F3D" w:rsidRDefault="00643F3D" w:rsidP="00643F3D">
      <w:pPr>
        <w:spacing w:after="0" w:line="240" w:lineRule="auto"/>
        <w:ind w:firstLine="708"/>
        <w:jc w:val="both"/>
        <w:rPr>
          <w:rFonts w:eastAsia="PMingLiU" w:cs="Times New Roman"/>
          <w:color w:val="000000"/>
          <w:sz w:val="28"/>
          <w:szCs w:val="28"/>
          <w:lang w:val="uk-UA" w:eastAsia="zh-TW"/>
        </w:rPr>
      </w:pP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Відповідно до статистичної інформації, враховуючи різні місця реєстрації, протягом січня 2022 року до Південно-Східного міжрегіонального управління  Міністерства юстиції (м. Дніпро)  </w:t>
      </w:r>
      <w:r w:rsidRPr="00643F3D">
        <w:rPr>
          <w:rFonts w:eastAsia="PMingLiU" w:cs="Times New Roman"/>
          <w:i/>
          <w:color w:val="000000"/>
          <w:sz w:val="28"/>
          <w:szCs w:val="28"/>
          <w:u w:val="single"/>
          <w:lang w:val="uk-UA" w:eastAsia="zh-TW"/>
        </w:rPr>
        <w:t>надійшло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>624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(за січень 2021 року - 567) звернення громадян, з них: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 xml:space="preserve">424 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(січень 2021 року – 370) 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 xml:space="preserve">105 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(січень 2021 року – 114) звернень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>95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(січень 2021 року – 83) звернень громадян у Південно-Східному міжрегіональному управлінні Міністерства юстиції (м. Дніпро), що діє у  Кіровоградській області.  </w:t>
      </w:r>
    </w:p>
    <w:p w:rsidR="00643F3D" w:rsidRPr="00643F3D" w:rsidRDefault="00643F3D" w:rsidP="00643F3D">
      <w:pPr>
        <w:spacing w:after="0" w:line="240" w:lineRule="auto"/>
        <w:ind w:firstLine="708"/>
        <w:jc w:val="both"/>
        <w:rPr>
          <w:rFonts w:eastAsia="PMingLiU" w:cs="Times New Roman"/>
          <w:color w:val="000000"/>
          <w:sz w:val="28"/>
          <w:szCs w:val="28"/>
          <w:lang w:val="uk-UA" w:eastAsia="zh-TW"/>
        </w:rPr>
      </w:pP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Крім зазначеної кількості на розгляд </w:t>
      </w:r>
      <w:r w:rsidRPr="00643F3D">
        <w:rPr>
          <w:rFonts w:eastAsia="PMingLiU" w:cs="Times New Roman"/>
          <w:i/>
          <w:color w:val="000000"/>
          <w:sz w:val="28"/>
          <w:szCs w:val="28"/>
          <w:u w:val="single"/>
          <w:lang w:val="uk-UA" w:eastAsia="zh-TW"/>
        </w:rPr>
        <w:t>надійшло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>124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(січень 2021 року – 78)  звернення  від юридичних осіб, з них: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>91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(січень 2021 року – 51) звернення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>20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(січень 2021 року – 20) звернень знаходяться на розгляді у Південно-Східному міжрегіональному управлінні Міністерства юстиції (м. Дніпро), що діє у Запорізькій області та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 xml:space="preserve"> 13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(січень 2021 року – 7) звернень у Південно-Східному міжрегіональному управлінні Міністерства юстиції (м. Дніпро), що діє у Кіровоградській області. </w:t>
      </w:r>
    </w:p>
    <w:p w:rsidR="00643F3D" w:rsidRPr="00643F3D" w:rsidRDefault="00643F3D" w:rsidP="00643F3D">
      <w:pPr>
        <w:spacing w:after="0" w:line="240" w:lineRule="auto"/>
        <w:ind w:firstLine="708"/>
        <w:jc w:val="both"/>
        <w:rPr>
          <w:rFonts w:eastAsia="PMingLiU" w:cs="Times New Roman"/>
          <w:color w:val="000000"/>
          <w:sz w:val="28"/>
          <w:szCs w:val="28"/>
          <w:lang w:val="uk-UA" w:eastAsia="zh-TW"/>
        </w:rPr>
      </w:pP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На «Урядову гарячу лінію» надійшло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>346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(січень 2021 року – 309) звернень (додаток 6), з них: до Південно-Східного   міжрегіонального  управління Міністерства юстиції  (м. Дніпро), що діє у Дніпропетровській області –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>228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(січень 2021 року –</w:t>
      </w:r>
      <w:r w:rsidR="00751375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 </w:t>
      </w:r>
      <w:bookmarkStart w:id="0" w:name="_GoBack"/>
      <w:bookmarkEnd w:id="0"/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198); до Південно-Східного   міжрегіонального  управління Міністерства юстиції  (м. Дніпро), що діє у Запорізькій області –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 xml:space="preserve">64 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 xml:space="preserve">(січень 2021 року – 63); до Південно-Східного   міжрегіонального  управління Міністерства юстиції (м. Дніпро), що діє у Кіровоградській  області – </w:t>
      </w:r>
      <w:r w:rsidRPr="00643F3D">
        <w:rPr>
          <w:rFonts w:eastAsia="PMingLiU" w:cs="Times New Roman"/>
          <w:b/>
          <w:color w:val="000000"/>
          <w:sz w:val="28"/>
          <w:szCs w:val="28"/>
          <w:lang w:val="uk-UA" w:eastAsia="zh-TW"/>
        </w:rPr>
        <w:t xml:space="preserve">54 </w:t>
      </w:r>
      <w:r w:rsidRPr="00643F3D">
        <w:rPr>
          <w:rFonts w:eastAsia="PMingLiU" w:cs="Times New Roman"/>
          <w:color w:val="000000"/>
          <w:sz w:val="28"/>
          <w:szCs w:val="28"/>
          <w:lang w:val="uk-UA" w:eastAsia="zh-TW"/>
        </w:rPr>
        <w:t>(січень 2020 року – 48).</w:t>
      </w:r>
    </w:p>
    <w:p w:rsidR="009944EE" w:rsidRDefault="009944EE" w:rsidP="00CC36C8">
      <w:pPr>
        <w:spacing w:after="0" w:line="240" w:lineRule="auto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241767" w:rsidRDefault="00331C0F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C36C8" w:rsidRDefault="00CC36C8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000625" cy="3895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0C3DF1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424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>
        <w:rPr>
          <w:rFonts w:eastAsia="Times New Roman" w:cs="Times New Roman"/>
          <w:sz w:val="26"/>
          <w:szCs w:val="26"/>
          <w:lang w:val="uk-UA" w:eastAsia="ru-RU"/>
        </w:rPr>
        <w:t>370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 звернень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54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uk-UA" w:eastAsia="ru-RU"/>
        </w:rPr>
        <w:t>звернення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eastAsia="Times New Roman" w:cs="Times New Roman"/>
          <w:sz w:val="26"/>
          <w:szCs w:val="26"/>
          <w:lang w:val="uk-UA" w:eastAsia="ru-RU"/>
        </w:rPr>
        <w:t>більше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0C3DF1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lastRenderedPageBreak/>
        <w:t>105</w:t>
      </w:r>
      <w:r w:rsid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 w:cs="Times New Roman"/>
          <w:sz w:val="26"/>
          <w:szCs w:val="26"/>
          <w:lang w:val="uk-UA" w:eastAsia="ru-RU"/>
        </w:rPr>
        <w:t>114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громадян, що на 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9 звернень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менше.</w:t>
      </w:r>
    </w:p>
    <w:p w:rsidR="006C3C7F" w:rsidRPr="006C3C7F" w:rsidRDefault="000C3DF1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95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що</w:t>
      </w:r>
      <w:r w:rsidR="009F7C1E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діє у Кіровоградській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 w:rsidR="0076043C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uk-UA" w:eastAsia="ru-RU"/>
        </w:rPr>
        <w:t>83 звернення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 w:rsidR="0076043C">
        <w:rPr>
          <w:rFonts w:eastAsia="Times New Roman" w:cs="Times New Roman"/>
          <w:sz w:val="26"/>
          <w:szCs w:val="26"/>
          <w:lang w:val="uk-UA" w:eastAsia="ru-RU"/>
        </w:rPr>
        <w:t>12 звернень  більше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Default="006C3C7F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F46506" w:rsidRDefault="00F46506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2364F2" w:rsidRPr="006C3C7F" w:rsidRDefault="002364F2" w:rsidP="003933EC">
      <w:pPr>
        <w:spacing w:after="0" w:line="240" w:lineRule="auto"/>
        <w:jc w:val="both"/>
        <w:rPr>
          <w:rFonts w:eastAsia="PMingLiU" w:cs="Times New Roman"/>
          <w:bCs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Начальник відділу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організаційної роботи,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 xml:space="preserve">документування та контролю                         </w:t>
      </w:r>
      <w:r>
        <w:rPr>
          <w:rFonts w:eastAsia="PMingLiU" w:cs="Times New Roman"/>
          <w:sz w:val="26"/>
          <w:szCs w:val="26"/>
          <w:lang w:val="uk-UA" w:eastAsia="zh-TW"/>
        </w:rPr>
        <w:t xml:space="preserve">         </w:t>
      </w:r>
      <w:r>
        <w:rPr>
          <w:rFonts w:eastAsia="PMingLiU" w:cs="Times New Roman"/>
          <w:sz w:val="26"/>
          <w:szCs w:val="26"/>
          <w:lang w:val="uk-UA" w:eastAsia="zh-TW"/>
        </w:rPr>
        <w:tab/>
      </w:r>
      <w:r w:rsidR="002364F2">
        <w:rPr>
          <w:rFonts w:eastAsia="PMingLiU" w:cs="Times New Roman"/>
          <w:sz w:val="26"/>
          <w:szCs w:val="26"/>
          <w:lang w:val="uk-UA" w:eastAsia="zh-TW"/>
        </w:rPr>
        <w:t>Ірина ВАСІНА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Погоджено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 xml:space="preserve">Перший заступник 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PMingLiU" w:cs="Times New Roman"/>
          <w:sz w:val="26"/>
          <w:szCs w:val="26"/>
          <w:lang w:val="uk-UA" w:eastAsia="zh-TW"/>
        </w:rPr>
        <w:t>начальника управління</w:t>
      </w:r>
      <w:r>
        <w:rPr>
          <w:rFonts w:eastAsia="PMingLiU" w:cs="Times New Roman"/>
          <w:sz w:val="26"/>
          <w:szCs w:val="26"/>
          <w:lang w:val="uk-UA" w:eastAsia="zh-TW"/>
        </w:rPr>
        <w:tab/>
      </w:r>
      <w:r w:rsidR="002364F2">
        <w:rPr>
          <w:rFonts w:eastAsia="PMingLiU" w:cs="Times New Roman"/>
          <w:sz w:val="26"/>
          <w:szCs w:val="26"/>
          <w:lang w:val="uk-UA" w:eastAsia="zh-TW"/>
        </w:rPr>
        <w:t>Ольга ЗАХАРОВА</w:t>
      </w:r>
    </w:p>
    <w:p w:rsidR="00670FBB" w:rsidRDefault="00670FBB" w:rsidP="00670FBB">
      <w:pPr>
        <w:tabs>
          <w:tab w:val="left" w:pos="7425"/>
        </w:tabs>
        <w:spacing w:after="0" w:line="240" w:lineRule="auto"/>
        <w:ind w:right="98"/>
        <w:jc w:val="both"/>
        <w:rPr>
          <w:rFonts w:eastAsia="PMingLiU" w:cs="Times New Roman"/>
          <w:sz w:val="22"/>
          <w:lang w:val="uk-UA" w:eastAsia="zh-TW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8336C8" w:rsidRDefault="008336C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70FBB" w:rsidRPr="00BB2A33" w:rsidRDefault="007A1FF6" w:rsidP="00BB2A33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val="uk-UA" w:eastAsia="ru-RU"/>
        </w:rPr>
      </w:pPr>
      <w:r>
        <w:rPr>
          <w:rFonts w:eastAsia="Times New Roman" w:cs="Times New Roman"/>
          <w:sz w:val="16"/>
          <w:szCs w:val="16"/>
          <w:lang w:val="uk-UA" w:eastAsia="ru-RU"/>
        </w:rPr>
        <w:t xml:space="preserve">Ірина </w:t>
      </w:r>
      <w:proofErr w:type="spellStart"/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>Матусяк</w:t>
      </w:r>
      <w:proofErr w:type="spellEnd"/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 xml:space="preserve">  (104)</w:t>
      </w:r>
    </w:p>
    <w:sectPr w:rsidR="00670FBB" w:rsidRPr="00BB2A33" w:rsidSect="00BA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312"/>
    <w:rsid w:val="00022981"/>
    <w:rsid w:val="00022D32"/>
    <w:rsid w:val="000231A9"/>
    <w:rsid w:val="000316FC"/>
    <w:rsid w:val="000477B8"/>
    <w:rsid w:val="00051F71"/>
    <w:rsid w:val="00062816"/>
    <w:rsid w:val="0008227D"/>
    <w:rsid w:val="000C3DF1"/>
    <w:rsid w:val="000D3084"/>
    <w:rsid w:val="000D5573"/>
    <w:rsid w:val="000F1335"/>
    <w:rsid w:val="00112543"/>
    <w:rsid w:val="001314B7"/>
    <w:rsid w:val="00167979"/>
    <w:rsid w:val="00190300"/>
    <w:rsid w:val="001B5BB1"/>
    <w:rsid w:val="001D7087"/>
    <w:rsid w:val="002208CF"/>
    <w:rsid w:val="00235B36"/>
    <w:rsid w:val="002364F2"/>
    <w:rsid w:val="00241767"/>
    <w:rsid w:val="00242D7E"/>
    <w:rsid w:val="0025699C"/>
    <w:rsid w:val="0027066C"/>
    <w:rsid w:val="002A012C"/>
    <w:rsid w:val="002A492A"/>
    <w:rsid w:val="002B312F"/>
    <w:rsid w:val="002C69C0"/>
    <w:rsid w:val="002D73ED"/>
    <w:rsid w:val="002F3679"/>
    <w:rsid w:val="002F6DAE"/>
    <w:rsid w:val="00331C0F"/>
    <w:rsid w:val="0033217E"/>
    <w:rsid w:val="00336808"/>
    <w:rsid w:val="00355BF5"/>
    <w:rsid w:val="0036430E"/>
    <w:rsid w:val="00372EA3"/>
    <w:rsid w:val="003933EC"/>
    <w:rsid w:val="003934B8"/>
    <w:rsid w:val="003A2499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E0AA4"/>
    <w:rsid w:val="004F3E81"/>
    <w:rsid w:val="005052D3"/>
    <w:rsid w:val="0054221F"/>
    <w:rsid w:val="00583817"/>
    <w:rsid w:val="00611B34"/>
    <w:rsid w:val="00633DCD"/>
    <w:rsid w:val="00641648"/>
    <w:rsid w:val="00643F3D"/>
    <w:rsid w:val="006478D6"/>
    <w:rsid w:val="00662F5B"/>
    <w:rsid w:val="00670FBB"/>
    <w:rsid w:val="00671A46"/>
    <w:rsid w:val="00695D64"/>
    <w:rsid w:val="006C3C7F"/>
    <w:rsid w:val="006E722D"/>
    <w:rsid w:val="007011FE"/>
    <w:rsid w:val="00722060"/>
    <w:rsid w:val="00742532"/>
    <w:rsid w:val="00751375"/>
    <w:rsid w:val="00751865"/>
    <w:rsid w:val="00752515"/>
    <w:rsid w:val="0076043C"/>
    <w:rsid w:val="00762E45"/>
    <w:rsid w:val="0079699C"/>
    <w:rsid w:val="007A1FF6"/>
    <w:rsid w:val="007A75D6"/>
    <w:rsid w:val="007B6075"/>
    <w:rsid w:val="007C1C5A"/>
    <w:rsid w:val="007E164C"/>
    <w:rsid w:val="007E668D"/>
    <w:rsid w:val="008336C8"/>
    <w:rsid w:val="008546E5"/>
    <w:rsid w:val="0085519E"/>
    <w:rsid w:val="008D2EA1"/>
    <w:rsid w:val="008E04A5"/>
    <w:rsid w:val="009215CA"/>
    <w:rsid w:val="009450FB"/>
    <w:rsid w:val="00947E7D"/>
    <w:rsid w:val="00952D1B"/>
    <w:rsid w:val="0097094B"/>
    <w:rsid w:val="00974A8D"/>
    <w:rsid w:val="00993D28"/>
    <w:rsid w:val="009944EE"/>
    <w:rsid w:val="009A3DB3"/>
    <w:rsid w:val="009C179F"/>
    <w:rsid w:val="009E0EEC"/>
    <w:rsid w:val="009F77C8"/>
    <w:rsid w:val="009F7C1E"/>
    <w:rsid w:val="00A15932"/>
    <w:rsid w:val="00A321B9"/>
    <w:rsid w:val="00A64662"/>
    <w:rsid w:val="00A64D59"/>
    <w:rsid w:val="00A7185F"/>
    <w:rsid w:val="00A81731"/>
    <w:rsid w:val="00A94B3E"/>
    <w:rsid w:val="00A97A48"/>
    <w:rsid w:val="00AC256E"/>
    <w:rsid w:val="00AC6066"/>
    <w:rsid w:val="00AE0A26"/>
    <w:rsid w:val="00AE539B"/>
    <w:rsid w:val="00B71A99"/>
    <w:rsid w:val="00B86826"/>
    <w:rsid w:val="00BA0C33"/>
    <w:rsid w:val="00BB2A33"/>
    <w:rsid w:val="00BC2C34"/>
    <w:rsid w:val="00BF6FAF"/>
    <w:rsid w:val="00C00BAA"/>
    <w:rsid w:val="00C16C78"/>
    <w:rsid w:val="00C365C6"/>
    <w:rsid w:val="00C44E3E"/>
    <w:rsid w:val="00C57F3A"/>
    <w:rsid w:val="00C636DE"/>
    <w:rsid w:val="00C74E1A"/>
    <w:rsid w:val="00C74E6A"/>
    <w:rsid w:val="00C7590E"/>
    <w:rsid w:val="00C866EA"/>
    <w:rsid w:val="00C965EB"/>
    <w:rsid w:val="00CC36C8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E1367"/>
    <w:rsid w:val="00E07A35"/>
    <w:rsid w:val="00E26605"/>
    <w:rsid w:val="00E3033D"/>
    <w:rsid w:val="00E4786C"/>
    <w:rsid w:val="00E51308"/>
    <w:rsid w:val="00E71230"/>
    <w:rsid w:val="00E73B8C"/>
    <w:rsid w:val="00E928F5"/>
    <w:rsid w:val="00EF27C8"/>
    <w:rsid w:val="00F01890"/>
    <w:rsid w:val="00F07C36"/>
    <w:rsid w:val="00F321F2"/>
    <w:rsid w:val="00F37741"/>
    <w:rsid w:val="00F46506"/>
    <w:rsid w:val="00F67AE0"/>
    <w:rsid w:val="00F87FE8"/>
    <w:rsid w:val="00FA2971"/>
    <w:rsid w:val="00FA68BE"/>
    <w:rsid w:val="00FD0165"/>
    <w:rsid w:val="00FF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000059992500943"/>
          <c:y val="3.1784841075794636E-2"/>
        </c:manualLayout>
      </c:layout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view3D>
      <c:perspective val="0"/>
    </c:view3D>
    <c:plotArea>
      <c:layout>
        <c:manualLayout>
          <c:layoutTarget val="inner"/>
          <c:xMode val="edge"/>
          <c:yMode val="edge"/>
          <c:x val="0.26095286635577836"/>
          <c:y val="0.17848432066148467"/>
          <c:w val="0.48000089285880387"/>
          <c:h val="0.24449906939929408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 січень  2022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98E-2"/>
                  <c:y val="-5.4115729421352898E-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-0.13594220722409706"/>
                  <c:y val="-2.096811248227225E-2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-9.4362904636920403E-2"/>
                  <c:y val="-6.017159835460667E-2"/>
                </c:manualLayout>
              </c:layout>
              <c:dLblPos val="bestFit"/>
              <c:showPercent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424</c:v>
                </c:pt>
                <c:pt idx="1">
                  <c:v>105</c:v>
                </c:pt>
                <c:pt idx="2">
                  <c:v>95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64E-3"/>
          <c:y val="0.54278805613845982"/>
          <c:w val="0.98285894263217122"/>
          <c:h val="0.44987826399450709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000059992500943"/>
          <c:y val="3.1784841075794636E-2"/>
        </c:manualLayout>
      </c:layout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view3D>
      <c:perspective val="0"/>
    </c:view3D>
    <c:plotArea>
      <c:layout>
        <c:manualLayout>
          <c:layoutTarget val="inner"/>
          <c:xMode val="edge"/>
          <c:yMode val="edge"/>
          <c:x val="0.26095286635577836"/>
          <c:y val="0.17848432066148467"/>
          <c:w val="0.48000089285880387"/>
          <c:h val="0.24449906939929408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 січень  2021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7E-2"/>
                  <c:y val="-5.4115729421352891E-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-0.13594220722409706"/>
                  <c:y val="-2.0968112482272247E-2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-9.4362904636920403E-2"/>
                  <c:y val="-6.017159835460667E-2"/>
                </c:manualLayout>
              </c:layout>
              <c:dLblPos val="bestFit"/>
              <c:showPercent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370</c:v>
                </c:pt>
                <c:pt idx="1">
                  <c:v>114</c:v>
                </c:pt>
                <c:pt idx="2">
                  <c:v>83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82"/>
          <c:w val="0.98285894263217122"/>
          <c:h val="0.44987826399450703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6E79-0C47-469A-81DB-5C44B5BA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2020-01-10T15:51:00Z</cp:lastPrinted>
  <dcterms:created xsi:type="dcterms:W3CDTF">2022-02-16T10:33:00Z</dcterms:created>
  <dcterms:modified xsi:type="dcterms:W3CDTF">2022-02-16T10:33:00Z</dcterms:modified>
</cp:coreProperties>
</file>