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Узагальнення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FB7B0E">
        <w:rPr>
          <w:rFonts w:eastAsia="Times New Roman" w:cs="Times New Roman"/>
          <w:b/>
          <w:sz w:val="26"/>
          <w:szCs w:val="26"/>
          <w:lang w:val="uk-UA" w:eastAsia="ru-RU"/>
        </w:rPr>
        <w:t xml:space="preserve">серпень </w:t>
      </w:r>
      <w:r w:rsidR="00E26605">
        <w:rPr>
          <w:rFonts w:eastAsia="Times New Roman" w:cs="Times New Roman"/>
          <w:b/>
          <w:sz w:val="26"/>
          <w:szCs w:val="26"/>
          <w:lang w:val="uk-UA" w:eastAsia="ru-RU"/>
        </w:rPr>
        <w:t>2021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</w:p>
    <w:p w:rsidR="00810192" w:rsidRDefault="00810192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BD7320" w:rsidRPr="00BD7320" w:rsidRDefault="00BD7320" w:rsidP="00BD7320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Відповідно до статистичної інформації, враховуючи різні місця </w:t>
      </w:r>
      <w:r w:rsidR="0039607D">
        <w:rPr>
          <w:rFonts w:eastAsia="PMingLiU" w:cs="Times New Roman"/>
          <w:sz w:val="28"/>
          <w:szCs w:val="28"/>
          <w:lang w:val="uk-UA" w:eastAsia="zh-TW"/>
        </w:rPr>
        <w:t>реєстрації, протягом серпня 2021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року до Південно-Східного міжрегіонального управління  Міністерства юстиції (м. Дніпро)  </w:t>
      </w:r>
      <w:r w:rsidRPr="00BD7320">
        <w:rPr>
          <w:rFonts w:eastAsia="PMingLiU" w:cs="Times New Roman"/>
          <w:i/>
          <w:sz w:val="28"/>
          <w:szCs w:val="28"/>
          <w:u w:val="single"/>
          <w:lang w:val="uk-UA" w:eastAsia="zh-TW"/>
        </w:rPr>
        <w:t>надійшло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529) 614  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звернень громадян, з них: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302) </w:t>
      </w:r>
      <w:r w:rsidR="0039607D">
        <w:rPr>
          <w:rFonts w:eastAsia="PMingLiU" w:cs="Times New Roman"/>
          <w:b/>
          <w:sz w:val="28"/>
          <w:szCs w:val="28"/>
          <w:lang w:val="uk-UA" w:eastAsia="zh-TW"/>
        </w:rPr>
        <w:t xml:space="preserve">386 </w:t>
      </w:r>
      <w:r w:rsidR="0039607D">
        <w:rPr>
          <w:rFonts w:eastAsia="PMingLiU" w:cs="Times New Roman"/>
          <w:sz w:val="28"/>
          <w:szCs w:val="28"/>
          <w:lang w:val="uk-UA" w:eastAsia="zh-TW"/>
        </w:rPr>
        <w:t>звернень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знаходяться на розгляді у Південно-Східному міжрегіональному управлінні Міністерства юстиції (м. Дніпро), що діє у Дніпропетровській області,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112) 124 </w:t>
      </w:r>
      <w:r w:rsidRPr="00BD7320">
        <w:rPr>
          <w:rFonts w:eastAsia="PMingLiU" w:cs="Times New Roman"/>
          <w:sz w:val="28"/>
          <w:szCs w:val="28"/>
          <w:lang w:val="uk-UA" w:eastAsia="zh-TW"/>
        </w:rPr>
        <w:t>звернення  знаходяться на розгляді у Південно-Східному міжрегіональному управлінні Міністерства юстиції (м. Дніпро), що діє у Запорізькій о</w:t>
      </w:r>
      <w:r w:rsidR="0072639C">
        <w:rPr>
          <w:rFonts w:eastAsia="PMingLiU" w:cs="Times New Roman"/>
          <w:sz w:val="28"/>
          <w:szCs w:val="28"/>
          <w:lang w:val="uk-UA" w:eastAsia="zh-TW"/>
        </w:rPr>
        <w:t>бласті та (за серпень 2020</w:t>
      </w:r>
      <w:r w:rsidR="003A5AB1">
        <w:rPr>
          <w:rFonts w:eastAsia="PMingLiU" w:cs="Times New Roman"/>
          <w:sz w:val="28"/>
          <w:szCs w:val="28"/>
          <w:lang w:val="uk-UA" w:eastAsia="zh-TW"/>
        </w:rPr>
        <w:t xml:space="preserve"> рок</w:t>
      </w:r>
      <w:r w:rsidR="001E09C9">
        <w:rPr>
          <w:rFonts w:eastAsia="PMingLiU" w:cs="Times New Roman"/>
          <w:sz w:val="28"/>
          <w:szCs w:val="28"/>
          <w:lang w:val="uk-UA" w:eastAsia="zh-TW"/>
        </w:rPr>
        <w:t>у</w:t>
      </w:r>
      <w:r w:rsidR="003A5AB1">
        <w:rPr>
          <w:rFonts w:eastAsia="PMingLiU" w:cs="Times New Roman"/>
          <w:sz w:val="28"/>
          <w:szCs w:val="28"/>
          <w:lang w:val="uk-UA" w:eastAsia="zh-TW"/>
        </w:rPr>
        <w:t xml:space="preserve">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115) 104 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звернення громадян у Південно-Східному міжрегіональному управлінні </w:t>
      </w:r>
      <w:r w:rsidR="006E2137">
        <w:rPr>
          <w:rFonts w:eastAsia="PMingLiU" w:cs="Times New Roman"/>
          <w:sz w:val="28"/>
          <w:szCs w:val="28"/>
          <w:lang w:val="uk-UA" w:eastAsia="zh-TW"/>
        </w:rPr>
        <w:t xml:space="preserve">Міністерства юстиції   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(м. Дніпро), що діє у  Кіровоградській області.  </w:t>
      </w:r>
    </w:p>
    <w:p w:rsidR="00BD7320" w:rsidRPr="00BD7320" w:rsidRDefault="00BD7320" w:rsidP="00BD7320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Крім зазначеної кількості на розгляд </w:t>
      </w:r>
      <w:r w:rsidRPr="00BD7320">
        <w:rPr>
          <w:rFonts w:eastAsia="PMingLiU" w:cs="Times New Roman"/>
          <w:i/>
          <w:sz w:val="28"/>
          <w:szCs w:val="28"/>
          <w:u w:val="single"/>
          <w:lang w:val="uk-UA" w:eastAsia="zh-TW"/>
        </w:rPr>
        <w:t>надійшло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>103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) </w:t>
      </w:r>
      <w:r w:rsidRPr="0072639C">
        <w:rPr>
          <w:rFonts w:eastAsia="PMingLiU" w:cs="Times New Roman"/>
          <w:b/>
          <w:sz w:val="28"/>
          <w:szCs w:val="28"/>
          <w:lang w:val="uk-UA" w:eastAsia="zh-TW"/>
        </w:rPr>
        <w:t>94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 звернення  від юридичних осіб, з них:  (за серпень 2020 року –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 68) 58 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Дніпропетровській області,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18) 23 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звернення знаходяться на розгляді у Південно-Східному міжрегіональному управлінні Міністерства юстиції                   (м. Дніпро), що діє у Запорізькій області та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 xml:space="preserve">17) 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</w:t>
      </w:r>
      <w:r w:rsidRPr="0072639C">
        <w:rPr>
          <w:rFonts w:eastAsia="PMingLiU" w:cs="Times New Roman"/>
          <w:b/>
          <w:sz w:val="28"/>
          <w:szCs w:val="28"/>
          <w:lang w:val="uk-UA" w:eastAsia="zh-TW"/>
        </w:rPr>
        <w:t>13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9944EE" w:rsidRPr="00904044" w:rsidRDefault="00BD7320" w:rsidP="00904044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На «Урядову гарячу лінію» надійшло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>293) 357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 звернень (додаток 6), з них: до Південно-Східного міжрегіонального управління Міністерства юстиції (м. Дніпро), що діє у Дніпропетровській області –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>175) 222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; до Південно-Східного   міжрегіонального управління Міністерства юстиції (м. Дніпро), що діє у Запорізькій області – (за серпень 2020 року – 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>67) 79</w:t>
      </w:r>
      <w:r w:rsidRPr="00BD7320">
        <w:rPr>
          <w:rFonts w:eastAsia="PMingLiU" w:cs="Times New Roman"/>
          <w:sz w:val="28"/>
          <w:szCs w:val="28"/>
          <w:lang w:val="uk-UA" w:eastAsia="zh-TW"/>
        </w:rPr>
        <w:t xml:space="preserve">; до Південно-Східного  міжрегіонального  управління Міністерства юстиції (м. Дніпро), що діє у Кіровоградській  області – (за серпень 2020 року  -  </w:t>
      </w:r>
      <w:r w:rsidR="0022487E">
        <w:rPr>
          <w:rFonts w:eastAsia="PMingLiU" w:cs="Times New Roman"/>
          <w:b/>
          <w:sz w:val="28"/>
          <w:szCs w:val="28"/>
          <w:lang w:val="uk-UA" w:eastAsia="zh-TW"/>
        </w:rPr>
        <w:t>51</w:t>
      </w:r>
      <w:r w:rsidRPr="00BD7320">
        <w:rPr>
          <w:rFonts w:eastAsia="PMingLiU" w:cs="Times New Roman"/>
          <w:b/>
          <w:sz w:val="28"/>
          <w:szCs w:val="28"/>
          <w:lang w:val="uk-UA" w:eastAsia="zh-TW"/>
        </w:rPr>
        <w:t>) 56</w:t>
      </w:r>
      <w:r w:rsidRPr="00BD7320">
        <w:rPr>
          <w:rFonts w:eastAsia="PMingLiU" w:cs="Times New Roman"/>
          <w:sz w:val="28"/>
          <w:szCs w:val="28"/>
          <w:lang w:val="uk-UA" w:eastAsia="zh-TW"/>
        </w:rPr>
        <w:t>.</w:t>
      </w:r>
    </w:p>
    <w:p w:rsidR="00241767" w:rsidRDefault="008A0B42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E3E085" wp14:editId="5C891D1E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0B42" w:rsidRDefault="008A0B42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2CEAF04" wp14:editId="57B5BD61">
            <wp:extent cx="5000625" cy="3895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996244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="006C3C7F"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BD732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386</w:t>
      </w:r>
      <w:r w:rsidR="006A75D6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звернень 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9D3F14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t xml:space="preserve">що діє у </w:t>
      </w:r>
      <w:r w:rsidR="009D3F14" w:rsidRPr="009D3F14">
        <w:rPr>
          <w:rFonts w:eastAsia="Times New Roman" w:cs="Times New Roman"/>
          <w:sz w:val="26"/>
          <w:szCs w:val="26"/>
          <w:lang w:val="uk-UA" w:eastAsia="ru-RU"/>
        </w:rPr>
        <w:lastRenderedPageBreak/>
        <w:t xml:space="preserve">Дніпропетровській області </w:t>
      </w:r>
      <w:r w:rsidR="006C3C7F" w:rsidRPr="009D3F14">
        <w:rPr>
          <w:rFonts w:eastAsia="Times New Roman" w:cs="Times New Roman"/>
          <w:sz w:val="26"/>
          <w:szCs w:val="26"/>
          <w:lang w:val="uk-UA" w:eastAsia="ru-RU"/>
        </w:rPr>
        <w:t xml:space="preserve"> а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за аналогічний період 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>
        <w:rPr>
          <w:rFonts w:eastAsia="Times New Roman" w:cs="Times New Roman"/>
          <w:sz w:val="26"/>
          <w:szCs w:val="26"/>
          <w:lang w:val="uk-UA" w:eastAsia="ru-RU"/>
        </w:rPr>
        <w:t>302</w:t>
      </w:r>
      <w:r w:rsidR="006E5FC2">
        <w:rPr>
          <w:rFonts w:eastAsia="Times New Roman" w:cs="Times New Roman"/>
          <w:sz w:val="26"/>
          <w:szCs w:val="26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>84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E43230">
        <w:rPr>
          <w:rFonts w:eastAsia="Times New Roman" w:cs="Times New Roman"/>
          <w:sz w:val="26"/>
          <w:szCs w:val="26"/>
          <w:lang w:val="uk-UA" w:eastAsia="ru-RU"/>
        </w:rPr>
        <w:t>звернення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 xml:space="preserve"> більше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BD732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124</w:t>
      </w:r>
      <w:r w:rsidR="006E5FC2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надійшли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112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>1</w:t>
      </w:r>
      <w:r w:rsidR="00770285">
        <w:rPr>
          <w:rFonts w:eastAsia="Times New Roman" w:cs="Times New Roman"/>
          <w:sz w:val="26"/>
          <w:szCs w:val="26"/>
          <w:lang w:val="uk-UA" w:eastAsia="ru-RU"/>
        </w:rPr>
        <w:t>2</w:t>
      </w:r>
      <w:r w:rsidR="00AB3A21">
        <w:rPr>
          <w:rFonts w:eastAsia="Times New Roman" w:cs="Times New Roman"/>
          <w:sz w:val="26"/>
          <w:szCs w:val="26"/>
          <w:lang w:val="uk-UA" w:eastAsia="ru-RU"/>
        </w:rPr>
        <w:t xml:space="preserve"> звернень</w:t>
      </w:r>
      <w:r w:rsidR="00523515">
        <w:rPr>
          <w:rFonts w:eastAsia="Times New Roman" w:cs="Times New Roman"/>
          <w:sz w:val="26"/>
          <w:szCs w:val="26"/>
          <w:lang w:val="uk-UA" w:eastAsia="ru-RU"/>
        </w:rPr>
        <w:t xml:space="preserve"> більше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BD732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104</w:t>
      </w:r>
      <w:r w:rsidR="006E5FC2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</w:t>
      </w:r>
      <w:r w:rsidR="00623BC8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, які знаходя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ться на розгляді у Південно-Східному міжрегіональному управлінні Міністерства юстиції, що діє у Кіровоградській області </w:t>
      </w:r>
      <w:proofErr w:type="spellStart"/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області</w:t>
      </w:r>
      <w:proofErr w:type="spellEnd"/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2020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 w:rsidR="00775742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uk-UA" w:eastAsia="ru-RU"/>
        </w:rPr>
        <w:t>115</w:t>
      </w:r>
      <w:r w:rsidR="00E728C8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звернень громадян, що на  </w:t>
      </w:r>
      <w:r w:rsidR="00775742">
        <w:rPr>
          <w:rFonts w:eastAsia="Times New Roman" w:cs="Times New Roman"/>
          <w:sz w:val="26"/>
          <w:szCs w:val="26"/>
          <w:lang w:val="uk-UA" w:eastAsia="ru-RU"/>
        </w:rPr>
        <w:t>11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 менше.</w:t>
      </w:r>
    </w:p>
    <w:p w:rsidR="00670FBB" w:rsidRPr="00904044" w:rsidRDefault="00670FBB" w:rsidP="00904044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bookmarkStart w:id="0" w:name="_GoBack"/>
      <w:bookmarkEnd w:id="0"/>
    </w:p>
    <w:sectPr w:rsidR="00670FBB" w:rsidRPr="0090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12"/>
    <w:rsid w:val="00022981"/>
    <w:rsid w:val="00022D32"/>
    <w:rsid w:val="000231A9"/>
    <w:rsid w:val="000316FC"/>
    <w:rsid w:val="000477B8"/>
    <w:rsid w:val="00051F71"/>
    <w:rsid w:val="00062816"/>
    <w:rsid w:val="0008227D"/>
    <w:rsid w:val="000D3084"/>
    <w:rsid w:val="000D5573"/>
    <w:rsid w:val="00112543"/>
    <w:rsid w:val="001314B7"/>
    <w:rsid w:val="00167979"/>
    <w:rsid w:val="00190300"/>
    <w:rsid w:val="001B5BB1"/>
    <w:rsid w:val="001D7087"/>
    <w:rsid w:val="001E09C9"/>
    <w:rsid w:val="002208CF"/>
    <w:rsid w:val="0022487E"/>
    <w:rsid w:val="00235B36"/>
    <w:rsid w:val="002364F2"/>
    <w:rsid w:val="00241767"/>
    <w:rsid w:val="00242D7E"/>
    <w:rsid w:val="0025699C"/>
    <w:rsid w:val="0027066C"/>
    <w:rsid w:val="002A012C"/>
    <w:rsid w:val="002A43F0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9607D"/>
    <w:rsid w:val="003A2499"/>
    <w:rsid w:val="003A5AB1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E0AA4"/>
    <w:rsid w:val="004F3E81"/>
    <w:rsid w:val="005052D3"/>
    <w:rsid w:val="00516CD3"/>
    <w:rsid w:val="00523515"/>
    <w:rsid w:val="0054221F"/>
    <w:rsid w:val="00583817"/>
    <w:rsid w:val="005E68DA"/>
    <w:rsid w:val="00611B34"/>
    <w:rsid w:val="00623BC8"/>
    <w:rsid w:val="00633DCD"/>
    <w:rsid w:val="00641648"/>
    <w:rsid w:val="006478D6"/>
    <w:rsid w:val="006610CA"/>
    <w:rsid w:val="00662F5B"/>
    <w:rsid w:val="00670FBB"/>
    <w:rsid w:val="00671A46"/>
    <w:rsid w:val="00695D64"/>
    <w:rsid w:val="006A75D6"/>
    <w:rsid w:val="006C3C7F"/>
    <w:rsid w:val="006E2137"/>
    <w:rsid w:val="006E5FC2"/>
    <w:rsid w:val="006E722D"/>
    <w:rsid w:val="007011FE"/>
    <w:rsid w:val="00722060"/>
    <w:rsid w:val="0072639C"/>
    <w:rsid w:val="00742532"/>
    <w:rsid w:val="00751865"/>
    <w:rsid w:val="00752515"/>
    <w:rsid w:val="00762E45"/>
    <w:rsid w:val="00770285"/>
    <w:rsid w:val="00775742"/>
    <w:rsid w:val="0079699C"/>
    <w:rsid w:val="007A1FF6"/>
    <w:rsid w:val="007A75D6"/>
    <w:rsid w:val="007B6075"/>
    <w:rsid w:val="007C1C5A"/>
    <w:rsid w:val="007E164C"/>
    <w:rsid w:val="007E668D"/>
    <w:rsid w:val="00810192"/>
    <w:rsid w:val="008336C8"/>
    <w:rsid w:val="008546E5"/>
    <w:rsid w:val="0085519E"/>
    <w:rsid w:val="00897877"/>
    <w:rsid w:val="008A0B42"/>
    <w:rsid w:val="008D2EA1"/>
    <w:rsid w:val="008E04A5"/>
    <w:rsid w:val="00904044"/>
    <w:rsid w:val="009215CA"/>
    <w:rsid w:val="009450FB"/>
    <w:rsid w:val="00947E7D"/>
    <w:rsid w:val="00952D1B"/>
    <w:rsid w:val="0097094B"/>
    <w:rsid w:val="00974A8D"/>
    <w:rsid w:val="0098116F"/>
    <w:rsid w:val="00993D28"/>
    <w:rsid w:val="009944EE"/>
    <w:rsid w:val="00996244"/>
    <w:rsid w:val="009A3DB3"/>
    <w:rsid w:val="009C179F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B3A21"/>
    <w:rsid w:val="00AC256E"/>
    <w:rsid w:val="00AC6066"/>
    <w:rsid w:val="00AE0A26"/>
    <w:rsid w:val="00AE539B"/>
    <w:rsid w:val="00B71A99"/>
    <w:rsid w:val="00B86826"/>
    <w:rsid w:val="00BB2A33"/>
    <w:rsid w:val="00BD7320"/>
    <w:rsid w:val="00BF6FAF"/>
    <w:rsid w:val="00C00BAA"/>
    <w:rsid w:val="00C16C78"/>
    <w:rsid w:val="00C365C6"/>
    <w:rsid w:val="00C44E3E"/>
    <w:rsid w:val="00C57F3A"/>
    <w:rsid w:val="00C636DE"/>
    <w:rsid w:val="00C704C8"/>
    <w:rsid w:val="00C74E1A"/>
    <w:rsid w:val="00C74E6A"/>
    <w:rsid w:val="00C7590E"/>
    <w:rsid w:val="00C82AA7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D53D5"/>
    <w:rsid w:val="00DE1367"/>
    <w:rsid w:val="00E07A35"/>
    <w:rsid w:val="00E26605"/>
    <w:rsid w:val="00E3033D"/>
    <w:rsid w:val="00E43230"/>
    <w:rsid w:val="00E4786C"/>
    <w:rsid w:val="00E51308"/>
    <w:rsid w:val="00E71230"/>
    <w:rsid w:val="00E728C8"/>
    <w:rsid w:val="00E73B8C"/>
    <w:rsid w:val="00E828A5"/>
    <w:rsid w:val="00E82B05"/>
    <w:rsid w:val="00E928F5"/>
    <w:rsid w:val="00EF27C8"/>
    <w:rsid w:val="00F01890"/>
    <w:rsid w:val="00F07C36"/>
    <w:rsid w:val="00F321F2"/>
    <w:rsid w:val="00F37741"/>
    <w:rsid w:val="00F67AE0"/>
    <w:rsid w:val="00F87FE8"/>
    <w:rsid w:val="00FA2971"/>
    <w:rsid w:val="00FA68BE"/>
    <w:rsid w:val="00FB7B0E"/>
    <w:rsid w:val="00FD0165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1C9B"/>
  <w15:docId w15:val="{A4315BC7-1208-4951-973E-61B881CE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серпень   2021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28A-4053-BC5B-5F88A486DE0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28A-4053-BC5B-5F88A486DE0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28A-4053-BC5B-5F88A486DE0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28A-4053-BC5B-5F88A486DE03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28A-4053-BC5B-5F88A486DE0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D28A-4053-BC5B-5F88A486DE0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D28A-4053-BC5B-5F88A486DE03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8A-4053-BC5B-5F88A486DE03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8A-4053-BC5B-5F88A486DE03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8A-4053-BC5B-5F88A486DE0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28A-4053-BC5B-5F88A486DE0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28A-4053-BC5B-5F88A486DE0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28A-4053-BC5B-5F88A486DE03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28A-4053-BC5B-5F88A486DE03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386</c:v>
                </c:pt>
                <c:pt idx="1">
                  <c:v>124</c:v>
                </c:pt>
                <c:pt idx="2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28A-4053-BC5B-5F88A486DE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6000059992500932"/>
          <c:y val="3.178484107579462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серпень  2020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535-47D8-A5B6-E24A5DCB916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535-47D8-A5B6-E24A5DCB916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535-47D8-A5B6-E24A5DCB916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535-47D8-A5B6-E24A5DCB9169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5535-47D8-A5B6-E24A5DCB9169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5535-47D8-A5B6-E24A5DCB9169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5535-47D8-A5B6-E24A5DCB9169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35-47D8-A5B6-E24A5DCB9169}"/>
                </c:ext>
              </c:extLst>
            </c:dLbl>
            <c:dLbl>
              <c:idx val="1"/>
              <c:layout>
                <c:manualLayout>
                  <c:x val="-0.135942207224097"/>
                  <c:y val="-2.096811248227223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35-47D8-A5B6-E24A5DCB9169}"/>
                </c:ext>
              </c:extLst>
            </c:dLbl>
            <c:dLbl>
              <c:idx val="2"/>
              <c:layout>
                <c:manualLayout>
                  <c:x val="-9.4362904636920389E-2"/>
                  <c:y val="-6.01715983546066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35-47D8-A5B6-E24A5DCB916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35-47D8-A5B6-E24A5DCB916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35-47D8-A5B6-E24A5DCB916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35-47D8-A5B6-E24A5DCB916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535-47D8-A5B6-E24A5DCB9169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302</c:v>
                </c:pt>
                <c:pt idx="1">
                  <c:v>112</c:v>
                </c:pt>
                <c:pt idx="2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535-47D8-A5B6-E24A5DCB91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7468-6B64-4416-8817-5BF87201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User307</cp:lastModifiedBy>
  <cp:revision>291</cp:revision>
  <cp:lastPrinted>2020-01-10T15:51:00Z</cp:lastPrinted>
  <dcterms:created xsi:type="dcterms:W3CDTF">2019-01-11T10:29:00Z</dcterms:created>
  <dcterms:modified xsi:type="dcterms:W3CDTF">2021-09-22T11:01:00Z</dcterms:modified>
</cp:coreProperties>
</file>