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92" w:rsidRPr="00F86B02" w:rsidRDefault="00101092" w:rsidP="00F86B02">
      <w:pPr>
        <w:spacing w:after="0"/>
        <w:jc w:val="center"/>
        <w:textAlignment w:val="baseline"/>
        <w:rPr>
          <w:rFonts w:ascii="Times New Roman" w:eastAsia="Times New Roman" w:hAnsi="Times New Roman" w:cs="Times New Roman"/>
          <w:b/>
          <w:bCs/>
          <w:color w:val="000000"/>
          <w:sz w:val="24"/>
          <w:szCs w:val="24"/>
        </w:rPr>
      </w:pPr>
      <w:r w:rsidRPr="00F86B02">
        <w:rPr>
          <w:rFonts w:ascii="Times New Roman" w:eastAsia="Times New Roman" w:hAnsi="Times New Roman" w:cs="Times New Roman"/>
          <w:b/>
          <w:bCs/>
          <w:color w:val="000000"/>
          <w:sz w:val="24"/>
          <w:szCs w:val="24"/>
        </w:rPr>
        <w:t>Строки розгляду документів, поданих для державної реєстрації громадських формувань визначено статтею 26 Закону України «Про державну реєстрацію юридичних осіб, фізичних осіб — підприємців та гр</w:t>
      </w:r>
      <w:bookmarkStart w:id="0" w:name="_GoBack"/>
      <w:bookmarkEnd w:id="0"/>
      <w:r w:rsidRPr="00F86B02">
        <w:rPr>
          <w:rFonts w:ascii="Times New Roman" w:eastAsia="Times New Roman" w:hAnsi="Times New Roman" w:cs="Times New Roman"/>
          <w:b/>
          <w:bCs/>
          <w:color w:val="000000"/>
          <w:sz w:val="24"/>
          <w:szCs w:val="24"/>
        </w:rPr>
        <w:t>омадських формувань»</w:t>
      </w:r>
    </w:p>
    <w:p w:rsidR="00101092" w:rsidRPr="00F86B02" w:rsidRDefault="00101092" w:rsidP="00F86B02">
      <w:pPr>
        <w:spacing w:after="0"/>
        <w:jc w:val="center"/>
        <w:textAlignment w:val="baseline"/>
        <w:rPr>
          <w:rFonts w:ascii="Times New Roman" w:eastAsia="Times New Roman" w:hAnsi="Times New Roman" w:cs="Times New Roman"/>
          <w:color w:val="000000"/>
          <w:sz w:val="24"/>
          <w:szCs w:val="24"/>
        </w:rPr>
      </w:pPr>
    </w:p>
    <w:p w:rsidR="00101092" w:rsidRPr="00F86B02" w:rsidRDefault="00101092" w:rsidP="00F86B02">
      <w:pPr>
        <w:numPr>
          <w:ilvl w:val="0"/>
          <w:numId w:val="1"/>
        </w:numPr>
        <w:spacing w:after="0"/>
        <w:ind w:left="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щодо місцевого осередку творчої спілки </w:t>
      </w:r>
      <w:r w:rsidRPr="00F86B02">
        <w:rPr>
          <w:rFonts w:ascii="Times New Roman" w:eastAsia="Times New Roman" w:hAnsi="Times New Roman" w:cs="Times New Roman"/>
          <w:color w:val="000000"/>
          <w:sz w:val="24"/>
          <w:szCs w:val="24"/>
          <w:bdr w:val="none" w:sz="0" w:space="0" w:color="auto" w:frame="1"/>
        </w:rPr>
        <w:t>- не пізніше </w:t>
      </w:r>
      <w:r w:rsidRPr="00F86B02">
        <w:rPr>
          <w:rFonts w:ascii="Times New Roman" w:eastAsia="Times New Roman" w:hAnsi="Times New Roman" w:cs="Times New Roman"/>
          <w:b/>
          <w:bCs/>
          <w:color w:val="000000"/>
          <w:sz w:val="24"/>
          <w:szCs w:val="24"/>
        </w:rPr>
        <w:t>30 робочих днів</w:t>
      </w:r>
      <w:r w:rsidRPr="00F86B02">
        <w:rPr>
          <w:rFonts w:ascii="Times New Roman" w:eastAsia="Times New Roman" w:hAnsi="Times New Roman" w:cs="Times New Roman"/>
          <w:color w:val="000000"/>
          <w:sz w:val="24"/>
          <w:szCs w:val="24"/>
          <w:bdr w:val="none" w:sz="0" w:space="0" w:color="auto" w:frame="1"/>
        </w:rPr>
        <w:t> з дати подання документів для державної реєстрації;</w:t>
      </w:r>
    </w:p>
    <w:p w:rsidR="00101092" w:rsidRPr="00F86B02" w:rsidRDefault="00101092" w:rsidP="00F86B02">
      <w:pPr>
        <w:numPr>
          <w:ilvl w:val="0"/>
          <w:numId w:val="1"/>
        </w:numPr>
        <w:spacing w:after="0"/>
        <w:ind w:left="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щодо структурного утворення політичної партії</w:t>
      </w:r>
      <w:r w:rsidRPr="00F86B02">
        <w:rPr>
          <w:rFonts w:ascii="Times New Roman" w:eastAsia="Times New Roman" w:hAnsi="Times New Roman" w:cs="Times New Roman"/>
          <w:b/>
          <w:bCs/>
          <w:color w:val="000000"/>
          <w:sz w:val="24"/>
          <w:szCs w:val="24"/>
          <w:bdr w:val="none" w:sz="0" w:space="0" w:color="auto" w:frame="1"/>
        </w:rPr>
        <w:t> </w:t>
      </w:r>
      <w:r w:rsidRPr="00F86B02">
        <w:rPr>
          <w:rFonts w:ascii="Times New Roman" w:eastAsia="Times New Roman" w:hAnsi="Times New Roman" w:cs="Times New Roman"/>
          <w:color w:val="000000"/>
          <w:sz w:val="24"/>
          <w:szCs w:val="24"/>
          <w:bdr w:val="none" w:sz="0" w:space="0" w:color="auto" w:frame="1"/>
        </w:rPr>
        <w:t>— не пізніше </w:t>
      </w:r>
      <w:r w:rsidRPr="00F86B02">
        <w:rPr>
          <w:rFonts w:ascii="Times New Roman" w:eastAsia="Times New Roman" w:hAnsi="Times New Roman" w:cs="Times New Roman"/>
          <w:b/>
          <w:bCs/>
          <w:color w:val="000000"/>
          <w:sz w:val="24"/>
          <w:szCs w:val="24"/>
        </w:rPr>
        <w:t>10 робочих днів</w:t>
      </w:r>
      <w:r w:rsidRPr="00F86B02">
        <w:rPr>
          <w:rFonts w:ascii="Times New Roman" w:eastAsia="Times New Roman" w:hAnsi="Times New Roman" w:cs="Times New Roman"/>
          <w:color w:val="000000"/>
          <w:sz w:val="24"/>
          <w:szCs w:val="24"/>
          <w:bdr w:val="none" w:sz="0" w:space="0" w:color="auto" w:frame="1"/>
        </w:rPr>
        <w:t> з дати подання документів для державної реєстрації;</w:t>
      </w:r>
    </w:p>
    <w:p w:rsidR="00101092" w:rsidRPr="00F86B02" w:rsidRDefault="00101092" w:rsidP="00F86B02">
      <w:pPr>
        <w:numPr>
          <w:ilvl w:val="0"/>
          <w:numId w:val="1"/>
        </w:numPr>
        <w:spacing w:after="0"/>
        <w:ind w:left="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щодо первинного осередку політичної партії </w:t>
      </w:r>
      <w:r w:rsidRPr="00F86B02">
        <w:rPr>
          <w:rFonts w:ascii="Times New Roman" w:eastAsia="Times New Roman" w:hAnsi="Times New Roman" w:cs="Times New Roman"/>
          <w:color w:val="000000"/>
          <w:sz w:val="24"/>
          <w:szCs w:val="24"/>
          <w:bdr w:val="none" w:sz="0" w:space="0" w:color="auto" w:frame="1"/>
        </w:rPr>
        <w:t>— протягом </w:t>
      </w:r>
      <w:r w:rsidRPr="00F86B02">
        <w:rPr>
          <w:rFonts w:ascii="Times New Roman" w:eastAsia="Times New Roman" w:hAnsi="Times New Roman" w:cs="Times New Roman"/>
          <w:b/>
          <w:bCs/>
          <w:color w:val="000000"/>
          <w:sz w:val="24"/>
          <w:szCs w:val="24"/>
        </w:rPr>
        <w:t>одного робочого дня </w:t>
      </w:r>
      <w:r w:rsidRPr="00F86B02">
        <w:rPr>
          <w:rFonts w:ascii="Times New Roman" w:eastAsia="Times New Roman" w:hAnsi="Times New Roman" w:cs="Times New Roman"/>
          <w:color w:val="000000"/>
          <w:sz w:val="24"/>
          <w:szCs w:val="24"/>
          <w:bdr w:val="none" w:sz="0" w:space="0" w:color="auto" w:frame="1"/>
        </w:rPr>
        <w:t>з дати подання документів для державної реєстрації;</w:t>
      </w:r>
    </w:p>
    <w:p w:rsidR="00101092" w:rsidRPr="00F86B02" w:rsidRDefault="00101092" w:rsidP="00F86B02">
      <w:pPr>
        <w:numPr>
          <w:ilvl w:val="0"/>
          <w:numId w:val="1"/>
        </w:numPr>
        <w:spacing w:after="0"/>
        <w:ind w:left="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щодо громадського об’єднання, місцевого осередку громадського об’єднання із статусом юридичної особи </w:t>
      </w:r>
      <w:r w:rsidRPr="00F86B02">
        <w:rPr>
          <w:rFonts w:ascii="Times New Roman" w:eastAsia="Times New Roman" w:hAnsi="Times New Roman" w:cs="Times New Roman"/>
          <w:color w:val="000000"/>
          <w:sz w:val="24"/>
          <w:szCs w:val="24"/>
          <w:bdr w:val="none" w:sz="0" w:space="0" w:color="auto" w:frame="1"/>
        </w:rPr>
        <w:t>— не пізніше</w:t>
      </w:r>
      <w:r w:rsidRPr="00F86B02">
        <w:rPr>
          <w:rFonts w:ascii="Times New Roman" w:eastAsia="Times New Roman" w:hAnsi="Times New Roman" w:cs="Times New Roman"/>
          <w:b/>
          <w:bCs/>
          <w:color w:val="000000"/>
          <w:sz w:val="24"/>
          <w:szCs w:val="24"/>
        </w:rPr>
        <w:t> трьох робочих днів</w:t>
      </w:r>
      <w:r w:rsidRPr="00F86B02">
        <w:rPr>
          <w:rFonts w:ascii="Times New Roman" w:eastAsia="Times New Roman" w:hAnsi="Times New Roman" w:cs="Times New Roman"/>
          <w:color w:val="000000"/>
          <w:sz w:val="24"/>
          <w:szCs w:val="24"/>
          <w:bdr w:val="none" w:sz="0" w:space="0" w:color="auto" w:frame="1"/>
        </w:rPr>
        <w:t> з дати подання документів для державної реєстрації;</w:t>
      </w:r>
    </w:p>
    <w:p w:rsidR="00101092" w:rsidRPr="00F86B02" w:rsidRDefault="00101092" w:rsidP="00F86B02">
      <w:pPr>
        <w:numPr>
          <w:ilvl w:val="0"/>
          <w:numId w:val="1"/>
        </w:numPr>
        <w:spacing w:after="0"/>
        <w:ind w:left="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bdr w:val="none" w:sz="0" w:space="0" w:color="auto" w:frame="1"/>
        </w:rPr>
        <w:t>щодо громадського об’єднання, що не має статусу юридичної особи</w:t>
      </w:r>
      <w:r w:rsidRPr="00F86B02">
        <w:rPr>
          <w:rFonts w:ascii="Times New Roman" w:eastAsia="Times New Roman" w:hAnsi="Times New Roman" w:cs="Times New Roman"/>
          <w:color w:val="000000"/>
          <w:sz w:val="24"/>
          <w:szCs w:val="24"/>
          <w:bdr w:val="none" w:sz="0" w:space="0" w:color="auto" w:frame="1"/>
        </w:rPr>
        <w:t> — не пізніше </w:t>
      </w:r>
      <w:r w:rsidRPr="00F86B02">
        <w:rPr>
          <w:rFonts w:ascii="Times New Roman" w:eastAsia="Times New Roman" w:hAnsi="Times New Roman" w:cs="Times New Roman"/>
          <w:b/>
          <w:bCs/>
          <w:color w:val="000000"/>
          <w:sz w:val="24"/>
          <w:szCs w:val="24"/>
          <w:bdr w:val="none" w:sz="0" w:space="0" w:color="auto" w:frame="1"/>
        </w:rPr>
        <w:t>трьох робочих днів</w:t>
      </w:r>
      <w:r w:rsidRPr="00F86B02">
        <w:rPr>
          <w:rFonts w:ascii="Times New Roman" w:eastAsia="Times New Roman" w:hAnsi="Times New Roman" w:cs="Times New Roman"/>
          <w:color w:val="000000"/>
          <w:sz w:val="24"/>
          <w:szCs w:val="24"/>
          <w:bdr w:val="none" w:sz="0" w:space="0" w:color="auto" w:frame="1"/>
        </w:rPr>
        <w:t> з дати подання документів для державної реєстрації;</w:t>
      </w:r>
    </w:p>
    <w:p w:rsidR="00F86B02" w:rsidRPr="00F86B02" w:rsidRDefault="00101092" w:rsidP="00F86B02">
      <w:pPr>
        <w:numPr>
          <w:ilvl w:val="0"/>
          <w:numId w:val="1"/>
        </w:numPr>
        <w:spacing w:after="0"/>
        <w:ind w:left="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щодо професійної спілки, її організації або об’єднання, організації роботодавців, її об’єднання</w:t>
      </w:r>
      <w:r w:rsidRPr="00F86B02">
        <w:rPr>
          <w:rFonts w:ascii="Times New Roman" w:eastAsia="Times New Roman" w:hAnsi="Times New Roman" w:cs="Times New Roman"/>
          <w:color w:val="000000"/>
          <w:sz w:val="24"/>
          <w:szCs w:val="24"/>
          <w:bdr w:val="none" w:sz="0" w:space="0" w:color="auto" w:frame="1"/>
        </w:rPr>
        <w:t> - не пізніше </w:t>
      </w:r>
      <w:r w:rsidRPr="00F86B02">
        <w:rPr>
          <w:rFonts w:ascii="Times New Roman" w:eastAsia="Times New Roman" w:hAnsi="Times New Roman" w:cs="Times New Roman"/>
          <w:b/>
          <w:bCs/>
          <w:color w:val="000000"/>
          <w:sz w:val="24"/>
          <w:szCs w:val="24"/>
        </w:rPr>
        <w:t>15 робочих днів </w:t>
      </w:r>
      <w:r w:rsidRPr="00F86B02">
        <w:rPr>
          <w:rFonts w:ascii="Times New Roman" w:eastAsia="Times New Roman" w:hAnsi="Times New Roman" w:cs="Times New Roman"/>
          <w:color w:val="000000"/>
          <w:sz w:val="24"/>
          <w:szCs w:val="24"/>
          <w:bdr w:val="none" w:sz="0" w:space="0" w:color="auto" w:frame="1"/>
        </w:rPr>
        <w:t>з дати подання документів для державної реєстрації.</w:t>
      </w:r>
    </w:p>
    <w:p w:rsidR="00F86B02" w:rsidRDefault="00F86B02" w:rsidP="00F86B02">
      <w:pPr>
        <w:spacing w:after="0"/>
        <w:jc w:val="both"/>
        <w:textAlignment w:val="baseline"/>
        <w:rPr>
          <w:rFonts w:ascii="Times New Roman" w:eastAsia="Times New Roman" w:hAnsi="Times New Roman" w:cs="Times New Roman"/>
          <w:b/>
          <w:bCs/>
          <w:color w:val="000000"/>
          <w:sz w:val="24"/>
          <w:szCs w:val="24"/>
          <w:lang w:val="ru-RU"/>
        </w:rPr>
      </w:pP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Також державна реєстрація за бажанням заявника може проводитися у скорочені строки. </w:t>
      </w:r>
      <w:r w:rsidRPr="00F86B02">
        <w:rPr>
          <w:rFonts w:ascii="Times New Roman" w:eastAsia="Times New Roman" w:hAnsi="Times New Roman" w:cs="Times New Roman"/>
          <w:color w:val="000000"/>
          <w:sz w:val="24"/>
          <w:szCs w:val="24"/>
          <w:bdr w:val="none" w:sz="0" w:space="0" w:color="auto" w:frame="1"/>
        </w:rPr>
        <w:t>Підстави, порядок та розмір плати за проведення державної реєстрації у скорочені строки встановлюються Постановою Кабінету Міністрів України «Про надання послуг у сфері державної реєстрації юридичних осіб, фізичних осіб — підприємців та громадських формувань у скорочені строки» від 25 грудня 2015 № 1133.</w:t>
      </w:r>
    </w:p>
    <w:p w:rsidR="00101092" w:rsidRPr="00F86B02" w:rsidRDefault="00101092" w:rsidP="00F86B02">
      <w:pPr>
        <w:spacing w:after="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 </w:t>
      </w:r>
    </w:p>
    <w:p w:rsidR="00101092" w:rsidRPr="00F86B02" w:rsidRDefault="00101092" w:rsidP="00F86B02">
      <w:pPr>
        <w:spacing w:after="0"/>
        <w:jc w:val="center"/>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Інформація про можливі результати розгляду документів  для державної реєстрації </w:t>
      </w:r>
    </w:p>
    <w:p w:rsidR="00101092" w:rsidRPr="00F86B02" w:rsidRDefault="00101092" w:rsidP="00F86B02">
      <w:pPr>
        <w:spacing w:after="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За результатами розгляду заяви приймається одне з таких рішень:  </w:t>
      </w:r>
    </w:p>
    <w:p w:rsidR="00101092" w:rsidRPr="00F86B02" w:rsidRDefault="00101092" w:rsidP="00F86B02">
      <w:pPr>
        <w:numPr>
          <w:ilvl w:val="0"/>
          <w:numId w:val="2"/>
        </w:numPr>
        <w:spacing w:after="0"/>
        <w:ind w:left="0"/>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про державну реєстрацію;</w:t>
      </w:r>
    </w:p>
    <w:p w:rsidR="00101092" w:rsidRPr="00F86B02" w:rsidRDefault="00101092" w:rsidP="00F86B02">
      <w:pPr>
        <w:numPr>
          <w:ilvl w:val="0"/>
          <w:numId w:val="2"/>
        </w:numPr>
        <w:spacing w:after="0"/>
        <w:ind w:left="0"/>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про відмову в державній реєстрації;</w:t>
      </w:r>
    </w:p>
    <w:p w:rsidR="00101092" w:rsidRPr="00F86B02" w:rsidRDefault="00101092" w:rsidP="00F86B02">
      <w:pPr>
        <w:numPr>
          <w:ilvl w:val="0"/>
          <w:numId w:val="2"/>
        </w:numPr>
        <w:spacing w:after="0"/>
        <w:ind w:left="0"/>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b/>
          <w:bCs/>
          <w:color w:val="000000"/>
          <w:sz w:val="24"/>
          <w:szCs w:val="24"/>
        </w:rPr>
        <w:t>про зупинення строку розгляду заяви про державну реєстрацію.</w:t>
      </w:r>
    </w:p>
    <w:p w:rsidR="00F86B02" w:rsidRPr="00F86B02" w:rsidRDefault="00F86B02" w:rsidP="00F86B02">
      <w:pPr>
        <w:spacing w:after="0"/>
        <w:textAlignment w:val="baseline"/>
        <w:rPr>
          <w:rFonts w:ascii="Times New Roman" w:eastAsia="Times New Roman" w:hAnsi="Times New Roman" w:cs="Times New Roman"/>
          <w:color w:val="000000"/>
          <w:sz w:val="24"/>
          <w:szCs w:val="24"/>
        </w:rPr>
      </w:pP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Державний реєстратор у строки, визначені законом, </w:t>
      </w:r>
      <w:r w:rsidRPr="00F86B02">
        <w:rPr>
          <w:rFonts w:ascii="Times New Roman" w:eastAsia="Times New Roman" w:hAnsi="Times New Roman" w:cs="Times New Roman"/>
          <w:b/>
          <w:bCs/>
          <w:color w:val="000000"/>
          <w:sz w:val="24"/>
          <w:szCs w:val="24"/>
        </w:rPr>
        <w:t>здійснює перевірку</w:t>
      </w:r>
      <w:r w:rsidRPr="00F86B02">
        <w:rPr>
          <w:rFonts w:ascii="Times New Roman" w:eastAsia="Times New Roman" w:hAnsi="Times New Roman" w:cs="Times New Roman"/>
          <w:color w:val="000000"/>
          <w:sz w:val="24"/>
          <w:szCs w:val="24"/>
          <w:bdr w:val="none" w:sz="0" w:space="0" w:color="auto" w:frame="1"/>
        </w:rPr>
        <w:t> зареєстрованих в Єдиному державному реєстрі документів на </w:t>
      </w:r>
      <w:r w:rsidRPr="00F86B02">
        <w:rPr>
          <w:rFonts w:ascii="Times New Roman" w:eastAsia="Times New Roman" w:hAnsi="Times New Roman" w:cs="Times New Roman"/>
          <w:b/>
          <w:bCs/>
          <w:color w:val="000000"/>
          <w:sz w:val="24"/>
          <w:szCs w:val="24"/>
        </w:rPr>
        <w:t>наявність підстав для зупинення їх розгляду та на наявність підстав для відмови </w:t>
      </w:r>
      <w:r w:rsidRPr="00F86B02">
        <w:rPr>
          <w:rFonts w:ascii="Times New Roman" w:eastAsia="Times New Roman" w:hAnsi="Times New Roman" w:cs="Times New Roman"/>
          <w:color w:val="000000"/>
          <w:sz w:val="24"/>
          <w:szCs w:val="24"/>
          <w:bdr w:val="none" w:sz="0" w:space="0" w:color="auto" w:frame="1"/>
        </w:rPr>
        <w:t>в державній реєстрації.</w:t>
      </w: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У разі наявності підстав для зупинення розгляду документів державний реєстратор вносить до Єдиного державного реєстру вичерпний перелік таких підстав, передбачених законом. За допомогою програмних засобів ведення Єдиного державного реєстру формується повідомлення про зупинення розгляду документів із зазначенням строку, виключного переліку підстав для його зупинення, рішення суб’єкта державної реєстрації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 у день такого зупинення та надсилається заявнику на адресу його електронної пошти.</w:t>
      </w: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Розгляд документів зупиняється на строк, що становить </w:t>
      </w:r>
      <w:r w:rsidRPr="00F86B02">
        <w:rPr>
          <w:rFonts w:ascii="Times New Roman" w:eastAsia="Times New Roman" w:hAnsi="Times New Roman" w:cs="Times New Roman"/>
          <w:b/>
          <w:bCs/>
          <w:color w:val="000000"/>
          <w:sz w:val="24"/>
          <w:szCs w:val="24"/>
        </w:rPr>
        <w:t>15 календарних днів </w:t>
      </w:r>
      <w:r w:rsidRPr="00F86B02">
        <w:rPr>
          <w:rFonts w:ascii="Times New Roman" w:eastAsia="Times New Roman" w:hAnsi="Times New Roman" w:cs="Times New Roman"/>
          <w:color w:val="000000"/>
          <w:sz w:val="24"/>
          <w:szCs w:val="24"/>
          <w:bdr w:val="none" w:sz="0" w:space="0" w:color="auto" w:frame="1"/>
        </w:rPr>
        <w:t>з дати їх зупинення. </w:t>
      </w: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 xml:space="preserve">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 за описом, </w:t>
      </w:r>
      <w:r w:rsidRPr="00F86B02">
        <w:rPr>
          <w:rFonts w:ascii="Times New Roman" w:eastAsia="Times New Roman" w:hAnsi="Times New Roman" w:cs="Times New Roman"/>
          <w:color w:val="000000"/>
          <w:sz w:val="24"/>
          <w:szCs w:val="24"/>
          <w:bdr w:val="none" w:sz="0" w:space="0" w:color="auto" w:frame="1"/>
        </w:rPr>
        <w:lastRenderedPageBreak/>
        <w:t>сформованим за допомогою програмних засобів ведення Єдиного державного реєстру. Відомості про повернення документів вносяться до Єдиного державного реєстру. У разі подання заявником документів, необхідних для усунення підстав для зупинення розгляду документів, державний реєстратор, уповноважена особа суб’єкта державної реєстрації, приймають їх у порядку, передбаченому для заяв про державну реєстрацію.</w:t>
      </w: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Якщо документи, необхідні для усунення підстав для зупинення розгляду документів, подані протягом установленого строку, розгляд документів поновлюється, про що державним реєстратором вносяться відомості до Єдиного державного реєстру.</w:t>
      </w: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Якщо заявником протягом установленого законом строку не подано документів, необхідних для усунення підстав для зупинення розгляду документів, державний реєстратор відмовляє у державній реєстрації.</w:t>
      </w:r>
    </w:p>
    <w:p w:rsidR="00101092" w:rsidRPr="00F86B02" w:rsidRDefault="00101092" w:rsidP="00F86B02">
      <w:pPr>
        <w:spacing w:after="0"/>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 </w:t>
      </w:r>
      <w:r w:rsidR="00F86B02" w:rsidRPr="00F86B02">
        <w:rPr>
          <w:rFonts w:ascii="Times New Roman" w:eastAsia="Times New Roman" w:hAnsi="Times New Roman" w:cs="Times New Roman"/>
          <w:color w:val="000000"/>
          <w:sz w:val="24"/>
          <w:szCs w:val="24"/>
          <w:bdr w:val="none" w:sz="0" w:space="0" w:color="auto" w:frame="1"/>
          <w:lang w:val="ru-RU"/>
        </w:rPr>
        <w:tab/>
      </w:r>
      <w:r w:rsidRPr="00F86B02">
        <w:rPr>
          <w:rFonts w:ascii="Times New Roman" w:eastAsia="Times New Roman" w:hAnsi="Times New Roman" w:cs="Times New Roman"/>
          <w:color w:val="000000"/>
          <w:sz w:val="24"/>
          <w:szCs w:val="24"/>
          <w:u w:val="single"/>
          <w:bdr w:val="none" w:sz="0" w:space="0" w:color="auto" w:frame="1"/>
        </w:rPr>
        <w:t>У разі наявності підстав для відмови у державній реєстрації</w:t>
      </w:r>
      <w:r w:rsidRPr="00F86B02">
        <w:rPr>
          <w:rFonts w:ascii="Times New Roman" w:eastAsia="Times New Roman" w:hAnsi="Times New Roman" w:cs="Times New Roman"/>
          <w:color w:val="000000"/>
          <w:sz w:val="24"/>
          <w:szCs w:val="24"/>
          <w:bdr w:val="none" w:sz="0" w:space="0" w:color="auto" w:frame="1"/>
        </w:rPr>
        <w:t>, державний реєстратор, за допомогою програмних засобів ведення Єдиного державного реєстру формує 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що за допомогою програмних засобів ведення Єдиного державного реєстру розміщується на порталі електронних сервісів у день відмови у державній реєстрації.</w:t>
      </w: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У разі відмови у державній реєстрації документи, подані для державної реєстрації, зберігаються суб’єктом державної реєстрації, державним реєстратором якого розглядалися такі документи, або нотаріусом, яким розглядалися такі документи, протягом трьох років.</w:t>
      </w:r>
    </w:p>
    <w:p w:rsidR="00F86B0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У разі звернення заявника у межах строку, передбаченого абзацом першим цього пункту,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йому за описом, сформованим за допомогою програмних засобів ведення Єдиного державного реєстру, не пізніше наступного робочого дня з дня надходження від заявника заяви про їх повернення. Відомості про повернення документів вносяться до Єдиного державного реєстру.</w:t>
      </w:r>
    </w:p>
    <w:p w:rsidR="00F86B0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За відсутності підстав для зупинення розгляду документів та/або відмови в державній реєстрації державний реєстратор </w:t>
      </w:r>
      <w:r w:rsidRPr="00F86B02">
        <w:rPr>
          <w:rFonts w:ascii="Times New Roman" w:eastAsia="Times New Roman" w:hAnsi="Times New Roman" w:cs="Times New Roman"/>
          <w:b/>
          <w:bCs/>
          <w:color w:val="000000"/>
          <w:sz w:val="24"/>
          <w:szCs w:val="24"/>
        </w:rPr>
        <w:t>приймає рішення у випадку проведення реєстраційної дії щодо громадського формування, </w:t>
      </w:r>
      <w:r w:rsidRPr="00F86B02">
        <w:rPr>
          <w:rFonts w:ascii="Times New Roman" w:eastAsia="Times New Roman" w:hAnsi="Times New Roman" w:cs="Times New Roman"/>
          <w:color w:val="000000"/>
          <w:sz w:val="24"/>
          <w:szCs w:val="24"/>
          <w:bdr w:val="none" w:sz="0" w:space="0" w:color="auto" w:frame="1"/>
        </w:rPr>
        <w:t>його символіки, засвідчення факту наявності всеукраїнського статусу громадського об’єднання та проводить реєстраційну дію, у тому числі з урахуванням принципу мовчазної згоди, шляхом внесення відповідного запису до Єдиного державного реєстру.</w:t>
      </w:r>
    </w:p>
    <w:p w:rsidR="00F86B02" w:rsidRDefault="00101092" w:rsidP="00F86B02">
      <w:pPr>
        <w:spacing w:after="0"/>
        <w:ind w:firstLine="708"/>
        <w:jc w:val="both"/>
        <w:textAlignment w:val="baseline"/>
        <w:rPr>
          <w:rFonts w:ascii="Times New Roman" w:eastAsia="Times New Roman" w:hAnsi="Times New Roman" w:cs="Times New Roman"/>
          <w:color w:val="000000"/>
          <w:sz w:val="24"/>
          <w:szCs w:val="24"/>
          <w:lang w:val="ru-RU"/>
        </w:rPr>
      </w:pPr>
      <w:r w:rsidRPr="00F86B02">
        <w:rPr>
          <w:rFonts w:ascii="Times New Roman" w:eastAsia="Times New Roman" w:hAnsi="Times New Roman" w:cs="Times New Roman"/>
          <w:color w:val="000000"/>
          <w:sz w:val="24"/>
          <w:szCs w:val="24"/>
          <w:bdr w:val="none" w:sz="0" w:space="0" w:color="auto" w:frame="1"/>
        </w:rPr>
        <w:t>За результатом проведеної державної реєстрації державний реєстратор за допомогою програмних засобів ведення Єдиного державного реєстру вносить відомості до цього реєстру та формує з нього виписку, яка за допомогою програмних засобів ведення Єдиного державного реєстру розміщується на порталі електронних сервісів у день проведення державної реєстрації.</w:t>
      </w:r>
    </w:p>
    <w:p w:rsidR="00101092" w:rsidRPr="00F86B02" w:rsidRDefault="00101092" w:rsidP="00F86B02">
      <w:pPr>
        <w:spacing w:after="0"/>
        <w:ind w:firstLine="708"/>
        <w:jc w:val="both"/>
        <w:textAlignment w:val="baseline"/>
        <w:rPr>
          <w:rFonts w:ascii="Times New Roman" w:eastAsia="Times New Roman" w:hAnsi="Times New Roman" w:cs="Times New Roman"/>
          <w:color w:val="000000"/>
          <w:sz w:val="24"/>
          <w:szCs w:val="24"/>
        </w:rPr>
      </w:pPr>
      <w:r w:rsidRPr="00F86B02">
        <w:rPr>
          <w:rFonts w:ascii="Times New Roman" w:eastAsia="Times New Roman" w:hAnsi="Times New Roman" w:cs="Times New Roman"/>
          <w:color w:val="000000"/>
          <w:sz w:val="24"/>
          <w:szCs w:val="24"/>
          <w:bdr w:val="none" w:sz="0" w:space="0" w:color="auto" w:frame="1"/>
        </w:rPr>
        <w:t>У разі подання заяви про державну реєстрацію у паперовій формі за результатом проведеної державної реєстрації за бажанням заявника виписка з Єдиного державного реєстру надається у паперовій формі з проставленням підпису та печатки державного реєстратора.</w:t>
      </w:r>
    </w:p>
    <w:p w:rsidR="00161C88" w:rsidRPr="00F86B02" w:rsidRDefault="00161C88" w:rsidP="00F86B02">
      <w:pPr>
        <w:spacing w:after="0"/>
        <w:rPr>
          <w:rFonts w:ascii="Times New Roman" w:hAnsi="Times New Roman" w:cs="Times New Roman"/>
          <w:sz w:val="24"/>
          <w:szCs w:val="24"/>
        </w:rPr>
      </w:pPr>
    </w:p>
    <w:sectPr w:rsidR="00161C88" w:rsidRPr="00F86B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B5FBB"/>
    <w:multiLevelType w:val="multilevel"/>
    <w:tmpl w:val="953A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610EB"/>
    <w:multiLevelType w:val="multilevel"/>
    <w:tmpl w:val="970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01092"/>
    <w:rsid w:val="00101092"/>
    <w:rsid w:val="00161C88"/>
    <w:rsid w:val="00F86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0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10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306</cp:lastModifiedBy>
  <cp:revision>4</cp:revision>
  <dcterms:created xsi:type="dcterms:W3CDTF">2020-01-15T12:52:00Z</dcterms:created>
  <dcterms:modified xsi:type="dcterms:W3CDTF">2020-01-22T15:49:00Z</dcterms:modified>
</cp:coreProperties>
</file>